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6506AC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color w:val="auto"/>
          <w:sz w:val="28"/>
          <w:szCs w:val="28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lang w:eastAsia="zh-CN"/>
        </w:rPr>
        <w:t>文章标题</w:t>
      </w:r>
    </w:p>
    <w:p w14:paraId="55431B7A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color w:val="auto"/>
          <w:sz w:val="21"/>
          <w:szCs w:val="21"/>
          <w:lang w:eastAsia="zh-CN"/>
        </w:rPr>
      </w:pPr>
      <w:r>
        <w:rPr>
          <w:rFonts w:hint="eastAsia"/>
          <w:color w:val="auto"/>
          <w:sz w:val="21"/>
          <w:szCs w:val="21"/>
          <w:lang w:eastAsia="zh-CN"/>
        </w:rPr>
        <w:t>中文标题字数原则上不超过</w:t>
      </w:r>
      <w:r>
        <w:rPr>
          <w:rFonts w:hint="eastAsia"/>
          <w:color w:val="auto"/>
          <w:sz w:val="21"/>
          <w:szCs w:val="21"/>
          <w:lang w:val="en-US" w:eastAsia="zh-CN"/>
        </w:rPr>
        <w:t>25字。</w:t>
      </w:r>
    </w:p>
    <w:p w14:paraId="3BEC523A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color w:val="auto"/>
          <w:sz w:val="21"/>
          <w:szCs w:val="21"/>
          <w:lang w:eastAsia="zh-CN"/>
        </w:rPr>
      </w:pPr>
      <w:r>
        <w:rPr>
          <w:rFonts w:hint="eastAsia"/>
          <w:color w:val="auto"/>
          <w:sz w:val="21"/>
          <w:szCs w:val="21"/>
          <w:lang w:eastAsia="zh-CN"/>
        </w:rPr>
        <w:t>标题应准确、简洁、专业。过于空泛：“纳米</w:t>
      </w:r>
      <w:r>
        <w:rPr>
          <w:rFonts w:hint="eastAsia"/>
          <w:color w:val="auto"/>
          <w:sz w:val="21"/>
          <w:szCs w:val="21"/>
          <w:lang w:val="en-US" w:eastAsia="zh-CN"/>
        </w:rPr>
        <w:t>材料</w:t>
      </w:r>
      <w:r>
        <w:rPr>
          <w:rFonts w:hint="eastAsia"/>
          <w:color w:val="auto"/>
          <w:sz w:val="21"/>
          <w:szCs w:val="21"/>
          <w:lang w:eastAsia="zh-CN"/>
        </w:rPr>
        <w:t>的研究”；过于冗长：“关于</w:t>
      </w:r>
      <w:r>
        <w:rPr>
          <w:rFonts w:hint="eastAsia"/>
          <w:color w:val="auto"/>
          <w:sz w:val="21"/>
          <w:szCs w:val="21"/>
          <w:lang w:val="en-US" w:eastAsia="zh-CN"/>
        </w:rPr>
        <w:t>XXXX</w:t>
      </w:r>
      <w:r>
        <w:rPr>
          <w:rFonts w:hint="eastAsia"/>
          <w:color w:val="auto"/>
          <w:sz w:val="21"/>
          <w:szCs w:val="21"/>
          <w:lang w:eastAsia="zh-CN"/>
        </w:rPr>
        <w:t>的研究及其在</w:t>
      </w:r>
      <w:r>
        <w:rPr>
          <w:rFonts w:hint="eastAsia"/>
          <w:color w:val="auto"/>
          <w:sz w:val="21"/>
          <w:szCs w:val="21"/>
          <w:lang w:val="en-US" w:eastAsia="zh-CN"/>
        </w:rPr>
        <w:t>XXXX</w:t>
      </w:r>
      <w:r>
        <w:rPr>
          <w:rFonts w:hint="eastAsia"/>
          <w:color w:val="auto"/>
          <w:sz w:val="21"/>
          <w:szCs w:val="21"/>
          <w:lang w:eastAsia="zh-CN"/>
        </w:rPr>
        <w:t>中的应用以及对</w:t>
      </w:r>
      <w:r>
        <w:rPr>
          <w:rFonts w:hint="eastAsia"/>
          <w:color w:val="auto"/>
          <w:sz w:val="21"/>
          <w:szCs w:val="21"/>
          <w:lang w:val="en-US" w:eastAsia="zh-CN"/>
        </w:rPr>
        <w:t>XXXX</w:t>
      </w:r>
      <w:r>
        <w:rPr>
          <w:rFonts w:hint="eastAsia"/>
          <w:color w:val="auto"/>
          <w:sz w:val="21"/>
          <w:szCs w:val="21"/>
          <w:lang w:eastAsia="zh-CN"/>
        </w:rPr>
        <w:t>机制的初步探讨”。</w:t>
      </w:r>
    </w:p>
    <w:p w14:paraId="702460F8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color w:val="auto"/>
          <w:sz w:val="21"/>
          <w:szCs w:val="21"/>
          <w:lang w:eastAsia="zh-CN"/>
        </w:rPr>
      </w:pPr>
      <w:r>
        <w:rPr>
          <w:rFonts w:hint="eastAsia"/>
          <w:color w:val="auto"/>
          <w:sz w:val="21"/>
          <w:szCs w:val="21"/>
          <w:lang w:eastAsia="zh-CN"/>
        </w:rPr>
        <w:t>避免使用非该领域共识的缩写。</w:t>
      </w:r>
    </w:p>
    <w:p w14:paraId="542187CC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color w:val="auto"/>
          <w:sz w:val="21"/>
          <w:szCs w:val="21"/>
          <w:lang w:eastAsia="zh-CN"/>
        </w:rPr>
      </w:pPr>
      <w:r>
        <w:rPr>
          <w:rFonts w:hint="eastAsia"/>
          <w:color w:val="auto"/>
          <w:sz w:val="21"/>
          <w:szCs w:val="21"/>
          <w:lang w:eastAsia="zh-CN"/>
        </w:rPr>
        <w:t>英文标题内容应与中文标题一致，实词首字母大写。</w:t>
      </w:r>
    </w:p>
    <w:p w14:paraId="018AD5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jc w:val="both"/>
        <w:textAlignment w:val="auto"/>
        <w:rPr>
          <w:rFonts w:hint="eastAsia"/>
          <w:color w:val="auto"/>
          <w:sz w:val="21"/>
          <w:szCs w:val="21"/>
          <w:lang w:eastAsia="zh-CN"/>
        </w:rPr>
      </w:pPr>
    </w:p>
    <w:p w14:paraId="0B501183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color w:val="auto"/>
          <w:sz w:val="28"/>
          <w:szCs w:val="28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lang w:eastAsia="zh-CN"/>
        </w:rPr>
        <w:t>作者信息</w:t>
      </w:r>
    </w:p>
    <w:p w14:paraId="0BA0202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（每个“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”代表1英文字符/0.5中文字符）</w:t>
      </w:r>
    </w:p>
    <w:p w14:paraId="7AEAEE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作者姓名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vertAlign w:val="superscript"/>
          <w:lang w:val="en-US" w:eastAsia="zh-CN" w:bidi="ar"/>
        </w:rPr>
        <w:t>1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，作者姓名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vertAlign w:val="superscript"/>
          <w:lang w:val="en-US" w:eastAsia="zh-CN" w:bidi="ar"/>
        </w:rPr>
        <w:t>2</w:t>
      </w:r>
      <w:r>
        <w:rPr>
          <w:rStyle w:val="7"/>
          <w:rFonts w:hint="eastAsia" w:ascii="宋体" w:hAnsi="宋体" w:eastAsia="宋体" w:cs="宋体"/>
          <w:color w:val="auto"/>
        </w:rPr>
        <w:footnoteReference w:id="0" w:customMarkFollows="1"/>
        <w:t>*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 xml:space="preserve"> （</w:t>
      </w:r>
      <w:r>
        <w:rPr>
          <w:rFonts w:hint="eastAsia"/>
          <w:color w:val="auto"/>
          <w:sz w:val="21"/>
          <w:szCs w:val="21"/>
          <w:lang w:val="en-US" w:eastAsia="zh-CN"/>
        </w:rPr>
        <w:t>作者不超过6名，二字名间空一中文字符宽度。英文名姓在前名在后，姓氏字母全大写，名首字母大写并使用“-”连接两音节，通讯作者使用星号标明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）</w:t>
      </w:r>
    </w:p>
    <w:p w14:paraId="47894A3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所有作者单位具体到科室、省市、邮编。一作涉及文章所属权问题不得跨两个及以上单位。</w:t>
      </w:r>
    </w:p>
    <w:p w14:paraId="5331D04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(1.作者一级单位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二级单位，省市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邮编；2.作者一级单位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二级单位，省市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邮编)</w:t>
      </w:r>
    </w:p>
    <w:p w14:paraId="67EB3B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b/>
          <w:bCs w:val="0"/>
          <w:color w:val="auto"/>
          <w:sz w:val="21"/>
          <w:lang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21"/>
          <w:lang w:eastAsia="zh-CN"/>
        </w:rPr>
        <w:t>示范：</w:t>
      </w:r>
    </w:p>
    <w:p w14:paraId="6FA5D9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Style w:val="7"/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b w:val="0"/>
          <w:bCs/>
          <w:color w:val="auto"/>
          <w:sz w:val="21"/>
        </w:rPr>
        <w:t>李哲宏</w:t>
      </w:r>
      <w:r>
        <w:rPr>
          <w:rFonts w:hint="eastAsia" w:ascii="宋体" w:hAnsi="宋体" w:eastAsia="宋体" w:cs="宋体"/>
          <w:b w:val="0"/>
          <w:bCs/>
          <w:color w:val="auto"/>
          <w:sz w:val="21"/>
          <w:vertAlign w:val="superscript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/>
          <w:color w:val="auto"/>
          <w:sz w:val="18"/>
          <w:vertAlign w:val="baseline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auto"/>
          <w:sz w:val="21"/>
        </w:rPr>
        <w:t>金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b w:val="0"/>
          <w:bCs/>
          <w:color w:val="auto"/>
          <w:sz w:val="21"/>
        </w:rPr>
        <w:t>宇</w:t>
      </w:r>
      <w:r>
        <w:rPr>
          <w:rFonts w:hint="eastAsia" w:ascii="宋体" w:hAnsi="宋体" w:eastAsia="宋体" w:cs="宋体"/>
          <w:b w:val="0"/>
          <w:bCs/>
          <w:color w:val="auto"/>
          <w:sz w:val="21"/>
          <w:vertAlign w:val="superscript"/>
          <w:lang w:val="en-US" w:eastAsia="zh-CN"/>
        </w:rPr>
        <w:t>2</w:t>
      </w:r>
      <w:r>
        <w:rPr>
          <w:rStyle w:val="7"/>
          <w:rFonts w:hint="eastAsia" w:ascii="宋体" w:hAnsi="宋体" w:eastAsia="宋体" w:cs="宋体"/>
          <w:color w:val="auto"/>
        </w:rPr>
        <w:footnoteReference w:id="1" w:customMarkFollows="1"/>
        <w:t>*</w:t>
      </w:r>
    </w:p>
    <w:p w14:paraId="1D1DCE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18"/>
          <w:vertAlign w:val="baseline"/>
          <w:lang w:val="en-US" w:eastAsia="zh-CN"/>
        </w:rPr>
        <w:t>(1.承德医学院 研究生院，河北承德 067000；2.承德医学院 附属医院，河北承德 067000）</w:t>
      </w:r>
    </w:p>
    <w:p w14:paraId="7F7DED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宋体" w:cs="Times New Roman"/>
          <w:color w:val="auto"/>
          <w:sz w:val="21"/>
          <w:szCs w:val="21"/>
          <w:lang w:val="en-US"/>
        </w:rPr>
      </w:pPr>
      <w:r>
        <w:rPr>
          <w:rFonts w:hint="default" w:ascii="Times New Roman" w:hAnsi="Times New Roman" w:eastAsia="宋体" w:cs="Times New Roman"/>
          <w:color w:val="auto"/>
          <w:sz w:val="21"/>
          <w:szCs w:val="21"/>
        </w:rPr>
        <w:t>LI Zhe-hong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1"/>
          <w:szCs w:val="21"/>
          <w:vertAlign w:val="superscript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</w:rPr>
        <w:t>,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</w:rPr>
        <w:t>JIN Yu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1"/>
          <w:szCs w:val="21"/>
          <w:vertAlign w:val="superscript"/>
          <w:lang w:val="en-US" w:eastAsia="zh-CN"/>
        </w:rPr>
        <w:t>2*</w:t>
      </w:r>
    </w:p>
    <w:p w14:paraId="390B00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center"/>
        <w:textAlignment w:val="auto"/>
        <w:rPr>
          <w:rFonts w:hint="eastAsia"/>
          <w:color w:val="auto"/>
          <w:sz w:val="18"/>
          <w:szCs w:val="18"/>
          <w:lang w:eastAsia="zh-CN"/>
        </w:rPr>
      </w:pP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</w:rPr>
        <w:t>(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>1.</w:t>
      </w:r>
      <w:r>
        <w:rPr>
          <w:rFonts w:hint="eastAsia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zh-CN"/>
        </w:rPr>
        <w:t>Grade 201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>9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zh-CN"/>
        </w:rPr>
        <w:t>, Postgraduate School of Chengde Medical University, Chengde</w:t>
      </w:r>
      <w:r>
        <w:rPr>
          <w:rFonts w:hint="eastAsia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>, Hebei,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zh-CN"/>
        </w:rPr>
        <w:t xml:space="preserve"> 067000, China;</w:t>
      </w:r>
      <w:r>
        <w:rPr>
          <w:rFonts w:hint="eastAsia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>2.</w:t>
      </w:r>
      <w:r>
        <w:rPr>
          <w:rFonts w:hint="eastAsia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</w:rPr>
        <w:t xml:space="preserve">Affiliated Hospital of Chengde Medical </w:t>
      </w:r>
      <w:r>
        <w:rPr>
          <w:rFonts w:hint="eastAsia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>University,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zh-CN"/>
        </w:rPr>
        <w:t xml:space="preserve"> Chengde</w:t>
      </w:r>
      <w:r>
        <w:rPr>
          <w:rFonts w:hint="eastAsia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>, Hebei,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zh-CN"/>
        </w:rPr>
        <w:t xml:space="preserve"> 067000, China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</w:rPr>
        <w:t>)</w:t>
      </w:r>
    </w:p>
    <w:p w14:paraId="202FDD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/>
          <w:color w:val="auto"/>
          <w:sz w:val="21"/>
          <w:szCs w:val="21"/>
          <w:lang w:val="en-US" w:eastAsia="zh-CN"/>
        </w:rPr>
      </w:pPr>
    </w:p>
    <w:p w14:paraId="5DC4229B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color w:val="auto"/>
          <w:sz w:val="28"/>
          <w:szCs w:val="28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lang w:eastAsia="zh-CN"/>
        </w:rPr>
        <w:t>摘要</w:t>
      </w:r>
    </w:p>
    <w:p w14:paraId="1EA98C4A">
      <w:pPr>
        <w:rPr>
          <w:rFonts w:hint="eastAsia"/>
          <w:b/>
          <w:bCs/>
          <w:color w:val="auto"/>
          <w:lang w:eastAsia="zh-CN"/>
        </w:rPr>
      </w:pPr>
      <w:r>
        <w:rPr>
          <w:rFonts w:hint="eastAsia"/>
          <w:b/>
          <w:bCs/>
          <w:color w:val="auto"/>
          <w:lang w:eastAsia="zh-CN"/>
        </w:rPr>
        <w:t>中文摘要：</w:t>
      </w:r>
    </w:p>
    <w:p w14:paraId="73E8A6BF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szCs w:val="21"/>
          <w:lang w:val="en-US" w:eastAsia="zh-CN"/>
        </w:rPr>
      </w:pPr>
      <w:r>
        <w:rPr>
          <w:rFonts w:hint="eastAsia"/>
          <w:color w:val="auto"/>
          <w:lang w:eastAsia="zh-CN"/>
        </w:rPr>
        <w:t>摘要的字数宜与文献中的成果多少相适应，通常报道性摘要以400字左右、报道-指示性摘要以300字左右、指示性摘要以150字左右为宜。</w:t>
      </w:r>
    </w:p>
    <w:p w14:paraId="742A05F5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color w:val="auto"/>
          <w:szCs w:val="21"/>
          <w:lang w:val="en-US" w:eastAsia="zh-CN"/>
        </w:rPr>
        <w:t>摘要的方法部分需写明具体使用的检验方法。</w:t>
      </w:r>
    </w:p>
    <w:p w14:paraId="1BF9EDB9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szCs w:val="21"/>
          <w:lang w:val="en-US" w:eastAsia="zh-CN"/>
        </w:rPr>
      </w:pPr>
      <w:r>
        <w:rPr>
          <w:rFonts w:hint="eastAsia"/>
          <w:color w:val="auto"/>
        </w:rPr>
        <w:t>摘要不应简单重复文献题名中已有的信息，也不宜对文献内容简单复制粘贴，而应对文献内容进行概括，做到精练准确。</w:t>
      </w:r>
    </w:p>
    <w:p w14:paraId="4790A709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</w:rPr>
        <w:t>基金资助项目产出的论文，应</w:t>
      </w:r>
      <w:r>
        <w:rPr>
          <w:rFonts w:hint="eastAsia"/>
          <w:color w:val="auto"/>
          <w:lang w:eastAsia="zh-CN"/>
        </w:rPr>
        <w:t>醒目</w:t>
      </w:r>
      <w:r>
        <w:rPr>
          <w:rFonts w:hint="eastAsia"/>
          <w:color w:val="auto"/>
        </w:rPr>
        <w:t>标注该基金名称及项</w:t>
      </w:r>
      <w:r>
        <w:rPr>
          <w:rFonts w:hint="eastAsia"/>
          <w:color w:val="auto"/>
          <w:lang w:eastAsia="zh-CN"/>
        </w:rPr>
        <w:t>目</w:t>
      </w:r>
      <w:r>
        <w:rPr>
          <w:rFonts w:hint="eastAsia"/>
          <w:color w:val="auto"/>
        </w:rPr>
        <w:t>编号。</w:t>
      </w:r>
    </w:p>
    <w:p w14:paraId="0E080A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/>
          <w:b/>
          <w:color w:val="auto"/>
          <w:sz w:val="21"/>
          <w:szCs w:val="21"/>
          <w:lang w:eastAsia="zh-CN"/>
        </w:rPr>
      </w:pPr>
      <w:r>
        <w:rPr>
          <w:rFonts w:hint="eastAsia" w:ascii="Times New Roman" w:hAnsi="Times New Roman"/>
          <w:b/>
          <w:color w:val="auto"/>
          <w:sz w:val="21"/>
          <w:szCs w:val="21"/>
          <w:lang w:eastAsia="zh-CN"/>
        </w:rPr>
        <w:t>示范：</w:t>
      </w:r>
    </w:p>
    <w:p w14:paraId="0BA223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ascii="Times New Roman" w:hAnsi="Times New Roman"/>
          <w:b/>
          <w:color w:val="auto"/>
          <w:sz w:val="21"/>
          <w:szCs w:val="21"/>
        </w:rPr>
        <w:t>摘要：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ascii="Times New Roman" w:hAnsi="Times New Roman"/>
          <w:b/>
          <w:color w:val="auto"/>
          <w:sz w:val="21"/>
          <w:szCs w:val="21"/>
        </w:rPr>
        <w:t>目的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XXXXXXXX。</w:t>
      </w:r>
      <w:r>
        <w:rPr>
          <w:rFonts w:hint="eastAsia" w:ascii="Times New Roman" w:hAnsi="Times New Roman"/>
          <w:b/>
          <w:color w:val="auto"/>
          <w:sz w:val="21"/>
          <w:szCs w:val="21"/>
          <w:lang w:val="en-US" w:eastAsia="zh-CN"/>
        </w:rPr>
        <w:t>方法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XXXXXXXX。</w:t>
      </w:r>
      <w:r>
        <w:rPr>
          <w:rFonts w:hint="eastAsia" w:ascii="Times New Roman" w:hAnsi="Times New Roman"/>
          <w:b/>
          <w:color w:val="auto"/>
          <w:sz w:val="21"/>
          <w:szCs w:val="21"/>
          <w:lang w:val="en-US" w:eastAsia="zh-CN"/>
        </w:rPr>
        <w:t>结果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XXXXXXXX。</w:t>
      </w:r>
      <w:r>
        <w:rPr>
          <w:rFonts w:hint="eastAsia" w:ascii="Times New Roman" w:hAnsi="Times New Roman"/>
          <w:b/>
          <w:color w:val="auto"/>
          <w:sz w:val="21"/>
          <w:szCs w:val="21"/>
          <w:lang w:val="en-US" w:eastAsia="zh-CN"/>
        </w:rPr>
        <w:t>结论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XXXXXXXX。</w:t>
      </w:r>
    </w:p>
    <w:p w14:paraId="2F55B7E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default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 w:bidi="ar"/>
        </w:rPr>
        <w:t>关键词：XXX；XXX；XXX；XXX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  <w:lang w:val="en-US" w:eastAsia="zh-CN" w:bidi="ar"/>
        </w:rPr>
        <w:t>（3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Cs w:val="21"/>
          <w:lang w:val="en-US" w:eastAsia="zh-CN"/>
        </w:rPr>
        <w:t>~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  <w:lang w:val="en-US" w:eastAsia="zh-CN" w:bidi="ar"/>
        </w:rPr>
        <w:t>6个）</w:t>
      </w:r>
    </w:p>
    <w:p w14:paraId="4D534A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</w:p>
    <w:p w14:paraId="744369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英文摘要：</w:t>
      </w:r>
    </w:p>
    <w:p w14:paraId="7B747A1C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中文摘要与英文摘要应在核心内容、重要数据和关键结论上保持严格一致。</w:t>
      </w:r>
    </w:p>
    <w:p w14:paraId="7BA4DAC5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鉴于中英文语言结构与阅读习惯的差异，英文摘要不应是中文摘要的逐字机械翻译。在确保核心内容一致的前提下，作者可根据需要对其进行语言上的优化与适度扩写，以使英文表达更流畅、严谨，并符合国际学术惯例。</w:t>
      </w:r>
    </w:p>
    <w:p w14:paraId="5CAC7CB6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注意时态的使用。目的、方法、结果使用一般过去时，结论使用一般现在时。</w:t>
      </w:r>
    </w:p>
    <w:p w14:paraId="48592D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/>
          <w:b/>
          <w:color w:val="auto"/>
          <w:sz w:val="21"/>
          <w:szCs w:val="21"/>
          <w:lang w:eastAsia="zh-CN"/>
        </w:rPr>
        <w:t>示范：</w:t>
      </w:r>
    </w:p>
    <w:p w14:paraId="65B434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Abstract: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□□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Objective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□…..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Methods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□….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Results□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….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Conclusion□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…</w:t>
      </w:r>
    </w:p>
    <w:p w14:paraId="6ECE6B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Key words: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□…..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;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□…..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;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□…..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;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□…..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（普通英文单词首字母小写）</w:t>
      </w:r>
    </w:p>
    <w:p w14:paraId="4FB35D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</w:pPr>
    </w:p>
    <w:p w14:paraId="049173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default"/>
          <w:color w:val="auto"/>
          <w:lang w:val="en-US" w:eastAsia="zh-CN"/>
        </w:rPr>
      </w:pPr>
      <w:bookmarkStart w:id="0" w:name="OLE_LINK9"/>
    </w:p>
    <w:bookmarkEnd w:id="0"/>
    <w:p w14:paraId="15271CDB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正文</w:t>
      </w:r>
    </w:p>
    <w:p w14:paraId="1F6C09B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正文格式：中文使用宋体；英文使用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Times New Roman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。</w:t>
      </w:r>
    </w:p>
    <w:p w14:paraId="6D75767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标题最多不应超过三级。</w:t>
      </w:r>
    </w:p>
    <w:p w14:paraId="28FACC7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楷体" w:hAnsi="楷体" w:eastAsia="楷体" w:cs="楷体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标题格式：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一级标题 黑体；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二级标题 楷体加黑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；</w:t>
      </w:r>
      <w:r>
        <w:rPr>
          <w:rFonts w:hint="eastAsia" w:ascii="楷体" w:hAnsi="楷体" w:eastAsia="楷体" w:cs="楷体"/>
          <w:color w:val="auto"/>
          <w:kern w:val="0"/>
          <w:sz w:val="21"/>
          <w:szCs w:val="21"/>
          <w:lang w:val="en-US" w:eastAsia="zh-CN" w:bidi="ar"/>
        </w:rPr>
        <w:t>三级标题 楷体</w:t>
      </w:r>
    </w:p>
    <w:p w14:paraId="2A563E6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firstLine="1050" w:firstLineChars="500"/>
        <w:jc w:val="left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标题通常情况下不应超过15字</w:t>
      </w:r>
    </w:p>
    <w:p w14:paraId="0FCC05B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示范:</w:t>
      </w:r>
    </w:p>
    <w:p w14:paraId="61B21F8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1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□□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一级标题</w:t>
      </w:r>
    </w:p>
    <w:p w14:paraId="1BC07C6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（回行）正文</w:t>
      </w:r>
    </w:p>
    <w:p w14:paraId="35B4767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楷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1.1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□□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二级标题</w:t>
      </w:r>
    </w:p>
    <w:p w14:paraId="70798D7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（回行）正文</w:t>
      </w:r>
    </w:p>
    <w:p w14:paraId="0E6A5BB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楷体" w:cs="Times New Roman"/>
          <w:color w:val="auto"/>
          <w:kern w:val="0"/>
          <w:sz w:val="21"/>
          <w:szCs w:val="21"/>
          <w:lang w:val="en-US" w:eastAsia="zh-CN" w:bidi="ar"/>
        </w:rPr>
        <w:t>1.1.1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□□</w:t>
      </w:r>
      <w:r>
        <w:rPr>
          <w:rFonts w:hint="eastAsia" w:ascii="楷体" w:hAnsi="楷体" w:eastAsia="楷体" w:cs="楷体"/>
          <w:color w:val="auto"/>
          <w:kern w:val="0"/>
          <w:sz w:val="21"/>
          <w:szCs w:val="21"/>
          <w:lang w:val="en-US" w:eastAsia="zh-CN" w:bidi="ar"/>
        </w:rPr>
        <w:t>三级标题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□□□□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（接排）正文</w:t>
      </w:r>
    </w:p>
    <w:p w14:paraId="35A4579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</w:p>
    <w:p w14:paraId="01889B9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注意：</w:t>
      </w:r>
    </w:p>
    <w:p w14:paraId="67ABADCC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szCs w:val="21"/>
          <w:lang w:eastAsia="zh-CN"/>
        </w:rPr>
      </w:pPr>
      <w:r>
        <w:rPr>
          <w:rFonts w:hint="eastAsia" w:ascii="宋体" w:hAnsi="宋体" w:cs="宋体"/>
          <w:color w:val="auto"/>
          <w:szCs w:val="21"/>
          <w:lang w:eastAsia="zh-CN"/>
        </w:rPr>
        <w:t>三次或三次以上出现在文中的专有名词，需在正文中首次出现的位置写明全称。格式：中文全称（英文全称，英文缩写）。此后正文中出现的此专有名词均需使用英文缩写代替</w:t>
      </w:r>
      <w:r>
        <w:rPr>
          <w:rFonts w:hint="eastAsia" w:ascii="宋体" w:hAnsi="宋体" w:cs="宋体"/>
          <w:color w:val="auto"/>
          <w:kern w:val="0"/>
          <w:szCs w:val="21"/>
          <w:lang w:eastAsia="zh-CN"/>
        </w:rPr>
        <w:t>，不得再次出现全名</w:t>
      </w:r>
      <w:r>
        <w:rPr>
          <w:rFonts w:hint="eastAsia" w:ascii="宋体" w:hAnsi="宋体" w:cs="宋体"/>
          <w:color w:val="auto"/>
          <w:szCs w:val="21"/>
          <w:lang w:eastAsia="zh-CN"/>
        </w:rPr>
        <w:t>。若本专有名词在文中仅出现一至两次，则不需要使用缩写。</w:t>
      </w:r>
    </w:p>
    <w:p w14:paraId="3C34FA25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szCs w:val="21"/>
          <w:lang w:eastAsia="zh-CN"/>
        </w:rPr>
      </w:pPr>
      <w:r>
        <w:rPr>
          <w:rFonts w:hint="eastAsia" w:ascii="宋体" w:hAnsi="宋体" w:cs="宋体"/>
          <w:color w:val="auto"/>
          <w:szCs w:val="21"/>
          <w:lang w:eastAsia="zh-CN"/>
        </w:rPr>
        <w:t>专有名词名称应使用现行标准名称，不宜使用本专业及相邻专业非公知公用的符号、术语、简称、外文缩写词。如冠心病应写为冠状动脉粥样硬化性心脏病；帕金森病不应写为帕金森氏病（旧称）。</w:t>
      </w:r>
    </w:p>
    <w:p w14:paraId="5D523B6E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kern w:val="0"/>
          <w:szCs w:val="21"/>
          <w:lang w:val="en-US" w:eastAsia="zh-CN"/>
        </w:rPr>
      </w:pPr>
      <w:r>
        <w:rPr>
          <w:rFonts w:hint="eastAsia" w:ascii="宋体" w:hAnsi="宋体" w:cs="宋体"/>
          <w:color w:val="auto"/>
          <w:szCs w:val="21"/>
          <w:lang w:val="en-US" w:eastAsia="zh-CN"/>
        </w:rPr>
        <w:t>表示天数时使用“d”代替“天”，如：5天应为5 d。表示第几天时使用汉字，如：第5天。</w:t>
      </w:r>
    </w:p>
    <w:p w14:paraId="34555738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kern w:val="0"/>
          <w:szCs w:val="21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依据国家标准《GB 3100～3102-1993 量和单位》中关于单位除法的规定，将浓度和密度等复合单位中的斜杠“/”改为负指数形式“·[单位]</w:t>
      </w:r>
      <w:r>
        <w:rPr>
          <w:rFonts w:hint="eastAsia" w:ascii="宋体" w:hAnsi="宋体" w:cs="宋体"/>
          <w:color w:val="auto"/>
          <w:kern w:val="0"/>
          <w:szCs w:val="21"/>
          <w:vertAlign w:val="superscript"/>
          <w:lang w:val="en-US" w:eastAsia="zh-CN"/>
        </w:rPr>
        <w:t>-1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”。例如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kg/m</w:t>
      </w:r>
      <w:r>
        <w:rPr>
          <w:rFonts w:hint="eastAsia" w:ascii="Times New Roman" w:hAnsi="Times New Roman" w:cs="Times New Roman"/>
          <w:color w:val="auto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color w:val="auto"/>
          <w:vertAlign w:val="baseline"/>
          <w:lang w:val="en-US" w:eastAsia="zh-CN"/>
        </w:rPr>
        <w:t>改为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kg</w:t>
      </w:r>
      <w:bookmarkStart w:id="1" w:name="OLE_LINK19"/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·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m</w:t>
      </w:r>
      <w:r>
        <w:rPr>
          <w:rFonts w:hint="eastAsia" w:ascii="Times New Roman" w:hAnsi="Times New Roman" w:cs="Times New Roman"/>
          <w:color w:val="auto"/>
          <w:vertAlign w:val="superscript"/>
          <w:lang w:val="en-US" w:eastAsia="zh-CN"/>
        </w:rPr>
        <w:t>-2</w:t>
      </w:r>
      <w:bookmarkEnd w:id="1"/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；</w:t>
      </w:r>
      <w:r>
        <w:rPr>
          <w:rFonts w:ascii="Times New Roman" w:hAnsi="Times New Roman"/>
          <w:color w:val="auto"/>
          <w:szCs w:val="21"/>
        </w:rPr>
        <w:t>r</w:t>
      </w:r>
      <w:r>
        <w:rPr>
          <w:rFonts w:hint="eastAsia" w:ascii="Times New Roman" w:hAnsi="Times New Roman"/>
          <w:color w:val="auto"/>
          <w:szCs w:val="21"/>
          <w:lang w:val="en-US" w:eastAsia="zh-CN"/>
        </w:rPr>
        <w:t>/</w:t>
      </w:r>
      <w:r>
        <w:rPr>
          <w:rFonts w:ascii="Times New Roman" w:hAnsi="Times New Roman"/>
          <w:color w:val="auto"/>
          <w:szCs w:val="21"/>
        </w:rPr>
        <w:t>min</w:t>
      </w:r>
      <w:r>
        <w:rPr>
          <w:rFonts w:hint="eastAsia" w:ascii="Times New Roman" w:hAnsi="Times New Roman" w:cs="Times New Roman"/>
          <w:color w:val="auto"/>
          <w:vertAlign w:val="baseline"/>
          <w:lang w:val="en-US" w:eastAsia="zh-CN"/>
        </w:rPr>
        <w:t>改为</w:t>
      </w:r>
      <w:r>
        <w:rPr>
          <w:rFonts w:ascii="Times New Roman" w:hAnsi="Times New Roman"/>
          <w:color w:val="auto"/>
          <w:szCs w:val="21"/>
        </w:rPr>
        <w:t>r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·</w:t>
      </w:r>
      <w:r>
        <w:rPr>
          <w:rFonts w:ascii="Times New Roman" w:hAnsi="Times New Roman"/>
          <w:color w:val="auto"/>
          <w:szCs w:val="21"/>
        </w:rPr>
        <w:t>min</w:t>
      </w:r>
      <w:r>
        <w:rPr>
          <w:rFonts w:hint="default" w:ascii="Times New Roman" w:hAnsi="Times New Roman" w:cs="Times New Roman"/>
          <w:color w:val="auto"/>
          <w:vertAlign w:val="superscript"/>
          <w:lang w:val="en-US" w:eastAsia="zh-CN"/>
        </w:rPr>
        <w:t>-1</w:t>
      </w:r>
      <w:r>
        <w:rPr>
          <w:rFonts w:hint="eastAsia" w:ascii="Times New Roman" w:hAnsi="Times New Roman" w:cs="Times New Roman"/>
          <w:color w:val="auto"/>
          <w:vertAlign w:val="baseline"/>
          <w:lang w:val="en-US" w:eastAsia="zh-CN"/>
        </w:rPr>
        <w:t>；</w:t>
      </w:r>
      <w:r>
        <w:rPr>
          <w:rFonts w:hint="default" w:ascii="Times New Roman" w:hAnsi="Times New Roman" w:cs="Times New Roman"/>
          <w:color w:val="auto"/>
          <w:vertAlign w:val="baseline"/>
          <w:lang w:val="en-US" w:eastAsia="zh-CN"/>
        </w:rPr>
        <w:t>次/天</w:t>
      </w:r>
      <w:r>
        <w:rPr>
          <w:rFonts w:hint="eastAsia" w:ascii="Times New Roman" w:hAnsi="Times New Roman" w:cs="Times New Roman"/>
          <w:color w:val="auto"/>
          <w:vertAlign w:val="baseline"/>
          <w:lang w:val="en-US" w:eastAsia="zh-CN"/>
        </w:rPr>
        <w:t>改为次·d</w:t>
      </w:r>
      <w:r>
        <w:rPr>
          <w:rFonts w:hint="eastAsia" w:ascii="Times New Roman" w:hAnsi="Times New Roman" w:cs="Times New Roman"/>
          <w:color w:val="auto"/>
          <w:vertAlign w:val="superscript"/>
          <w:lang w:val="en-US" w:eastAsia="zh-CN"/>
        </w:rPr>
        <w:t>-1</w:t>
      </w:r>
      <w:r>
        <w:rPr>
          <w:rFonts w:hint="eastAsia" w:ascii="Times New Roman" w:hAnsi="Times New Roman" w:cs="Times New Roman"/>
          <w:color w:val="auto"/>
          <w:vertAlign w:val="baseline"/>
          <w:lang w:val="en-US" w:eastAsia="zh-CN"/>
        </w:rPr>
        <w:t>。</w:t>
      </w:r>
    </w:p>
    <w:p w14:paraId="53ED86AD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kern w:val="0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auto"/>
          <w:vertAlign w:val="baseline"/>
          <w:lang w:val="en-US" w:eastAsia="zh-CN"/>
        </w:rPr>
        <w:t>禁止使用连续多个‘/’的写法</w:t>
      </w:r>
      <w:r>
        <w:rPr>
          <w:rFonts w:hint="eastAsia" w:ascii="Times New Roman" w:hAnsi="Times New Roman" w:cs="Times New Roman"/>
          <w:color w:val="auto"/>
          <w:vertAlign w:val="baseline"/>
          <w:lang w:val="en-US" w:eastAsia="zh-CN"/>
        </w:rPr>
        <w:t>，如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mg/kg/d应写为mg/（kg</w:t>
      </w:r>
      <w:bookmarkStart w:id="8" w:name="_GoBack"/>
      <w:bookmarkEnd w:id="8"/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·d）或mg·kg</w:t>
      </w:r>
      <w:r>
        <w:rPr>
          <w:rFonts w:hint="eastAsia" w:ascii="Times New Roman" w:hAnsi="Times New Roman" w:cs="Times New Roman"/>
          <w:color w:val="auto"/>
          <w:vertAlign w:val="superscript"/>
          <w:lang w:val="en-US" w:eastAsia="zh-CN"/>
        </w:rPr>
        <w:t>-1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·d</w:t>
      </w:r>
      <w:r>
        <w:rPr>
          <w:rFonts w:hint="eastAsia" w:ascii="Times New Roman" w:hAnsi="Times New Roman" w:cs="Times New Roman"/>
          <w:color w:val="auto"/>
          <w:vertAlign w:val="superscript"/>
          <w:lang w:val="en-US" w:eastAsia="zh-CN"/>
        </w:rPr>
        <w:t>-1</w:t>
      </w:r>
      <w:r>
        <w:rPr>
          <w:rFonts w:hint="eastAsia" w:ascii="Times New Roman" w:hAnsi="Times New Roman" w:cs="Times New Roman"/>
          <w:color w:val="auto"/>
          <w:vertAlign w:val="baseline"/>
          <w:lang w:val="en-US" w:eastAsia="zh-CN"/>
        </w:rPr>
        <w:t>。</w:t>
      </w:r>
    </w:p>
    <w:p w14:paraId="7C710A0D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eastAsia="zh-CN"/>
        </w:rPr>
      </w:pPr>
      <w:r>
        <w:rPr>
          <w:rFonts w:hint="eastAsia" w:ascii="宋体" w:hAnsi="宋体" w:cs="宋体"/>
          <w:color w:val="auto"/>
          <w:szCs w:val="21"/>
          <w:lang w:val="en-US" w:eastAsia="zh-CN"/>
        </w:rPr>
        <w:t>统计学相关英文统一使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用斜体：</w:t>
      </w:r>
      <w:r>
        <w:rPr>
          <w:rFonts w:hint="default" w:ascii="Times New Roman" w:hAnsi="Times New Roman" w:eastAsia="宋体" w:cs="Times New Roman"/>
          <w:i/>
          <w:iCs/>
          <w:color w:val="auto"/>
          <w:szCs w:val="21"/>
          <w:lang w:val="en-US" w:eastAsia="zh-CN"/>
        </w:rPr>
        <w:t>P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、</w:t>
      </w:r>
      <w:r>
        <w:rPr>
          <w:rFonts w:hint="default" w:ascii="Times New Roman" w:hAnsi="Times New Roman" w:eastAsia="宋体" w:cs="Times New Roman"/>
          <w:i/>
          <w:iCs/>
          <w:color w:val="auto"/>
          <w:szCs w:val="21"/>
          <w:lang w:val="en-US" w:eastAsia="zh-CN"/>
        </w:rPr>
        <w:t>n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、</w:t>
      </w:r>
      <w:r>
        <w:rPr>
          <w:rFonts w:hint="default" w:ascii="Times New Roman" w:hAnsi="Times New Roman" w:eastAsia="宋体" w:cs="Times New Roman"/>
          <w:i/>
          <w:iCs/>
          <w:color w:val="auto"/>
          <w:szCs w:val="21"/>
          <w:lang w:val="en-US" w:eastAsia="zh-CN"/>
        </w:rPr>
        <w:t>t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、</w:t>
      </w:r>
      <w:r>
        <w:rPr>
          <w:rFonts w:hint="default" w:ascii="Times New Roman" w:hAnsi="Times New Roman" w:eastAsia="宋体" w:cs="Times New Roman"/>
          <w:i/>
          <w:iCs/>
          <w:color w:val="auto"/>
          <w:szCs w:val="21"/>
        </w:rPr>
        <w:t>χ</w:t>
      </w:r>
      <w:r>
        <w:rPr>
          <w:rFonts w:hint="default" w:ascii="Times New Roman" w:hAnsi="Times New Roman" w:eastAsia="宋体" w:cs="Times New Roman"/>
          <w:i/>
          <w:iCs/>
          <w:color w:val="auto"/>
          <w:szCs w:val="21"/>
          <w:vertAlign w:val="superscript"/>
        </w:rPr>
        <w:t>2</w:t>
      </w:r>
      <w:r>
        <w:rPr>
          <w:rFonts w:hint="default" w:ascii="Times New Roman" w:hAnsi="Times New Roman" w:eastAsia="宋体" w:cs="Times New Roman"/>
          <w:i/>
          <w:color w:val="auto"/>
          <w:szCs w:val="21"/>
          <w:vertAlign w:val="baseline"/>
          <w:lang w:eastAsia="zh-CN"/>
        </w:rPr>
        <w:t>、</w:t>
      </w:r>
      <w:r>
        <w:rPr>
          <w:rFonts w:hint="eastAsia" w:ascii="Times New Roman" w:hAnsi="Times New Roman" w:eastAsia="宋体" w:cs="Times New Roman"/>
          <w:i w:val="0"/>
          <w:iCs/>
          <w:color w:val="auto"/>
          <w:szCs w:val="21"/>
          <w:vertAlign w:val="baseline"/>
          <w:lang w:val="en-US" w:eastAsia="zh-CN"/>
        </w:rPr>
        <w:t>(</w:t>
      </w:r>
      <w:r>
        <w:rPr>
          <w:rFonts w:hint="default" w:ascii="Times New Roman" w:hAnsi="Times New Roman" w:eastAsia="宋体" w:cs="Times New Roman"/>
          <w:bCs/>
          <w:i/>
          <w:color w:val="auto"/>
          <w:kern w:val="0"/>
          <w:szCs w:val="21"/>
        </w:rPr>
        <w:t>n</w:t>
      </w:r>
      <w:r>
        <w:rPr>
          <w:rFonts w:hint="eastAsia" w:ascii="Times New Roman" w:hAnsi="Times New Roman" w:eastAsia="宋体" w:cs="Times New Roman"/>
          <w:bCs/>
          <w:color w:val="auto"/>
          <w:kern w:val="0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bCs/>
          <w:color w:val="auto"/>
          <w:kern w:val="0"/>
          <w:szCs w:val="21"/>
        </w:rPr>
        <w:t>%)</w:t>
      </w:r>
      <w:r>
        <w:rPr>
          <w:rFonts w:hint="eastAsia" w:ascii="Times New Roman" w:hAnsi="Times New Roman" w:eastAsia="宋体" w:cs="Times New Roman"/>
          <w:bCs/>
          <w:color w:val="auto"/>
          <w:kern w:val="0"/>
          <w:szCs w:val="21"/>
          <w:lang w:eastAsia="zh-CN"/>
        </w:rPr>
        <w:t>。</w:t>
      </w:r>
    </w:p>
    <w:p w14:paraId="62D684F4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kern w:val="0"/>
          <w:szCs w:val="21"/>
        </w:rPr>
      </w:pPr>
      <w:r>
        <w:rPr>
          <w:rFonts w:hint="eastAsia" w:ascii="Times New Roman" w:hAnsi="Times New Roman" w:eastAsia="宋体" w:cs="Times New Roman"/>
          <w:color w:val="auto"/>
          <w:szCs w:val="21"/>
          <w:lang w:val="en-US" w:eastAsia="zh-CN"/>
        </w:rPr>
        <w:t>全文应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使用标准数学符号</w:t>
      </w:r>
      <w:r>
        <w:rPr>
          <w:rFonts w:hint="eastAsia" w:ascii="Times New Roman" w:hAnsi="Times New Roman" w:eastAsia="宋体" w:cs="Times New Roman"/>
          <w:color w:val="auto"/>
          <w:szCs w:val="21"/>
          <w:lang w:val="en-US" w:eastAsia="zh-CN"/>
        </w:rPr>
        <w:t>和罗马数字。</w:t>
      </w:r>
      <w:r>
        <w:rPr>
          <w:rFonts w:hint="eastAsia" w:ascii="宋体" w:hAnsi="宋体" w:cs="宋体"/>
          <w:color w:val="auto"/>
          <w:kern w:val="0"/>
          <w:szCs w:val="21"/>
          <w:lang w:eastAsia="zh-CN"/>
        </w:rPr>
        <w:t>数字、公式等科技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/数学</w:t>
      </w:r>
      <w:r>
        <w:rPr>
          <w:rFonts w:hint="eastAsia" w:ascii="宋体" w:hAnsi="宋体" w:cs="宋体"/>
          <w:color w:val="auto"/>
          <w:kern w:val="0"/>
          <w:szCs w:val="21"/>
          <w:lang w:eastAsia="zh-CN"/>
        </w:rPr>
        <w:t>符号使用半角，如比值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kern w:val="0"/>
          <w:szCs w:val="21"/>
        </w:rPr>
        <w:t>1∶50</w:t>
      </w:r>
      <w:r>
        <w:rPr>
          <w:rFonts w:hint="eastAsia" w:ascii="宋体" w:hAnsi="宋体" w:cs="宋体"/>
          <w:color w:val="auto"/>
          <w:kern w:val="0"/>
          <w:szCs w:val="21"/>
          <w:lang w:eastAsia="zh-CN"/>
        </w:rPr>
        <w:t>。</w:t>
      </w:r>
    </w:p>
    <w:p w14:paraId="2F02ADE8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kern w:val="0"/>
          <w:szCs w:val="21"/>
        </w:rPr>
      </w:pPr>
      <w:r>
        <w:rPr>
          <w:rFonts w:hint="eastAsia"/>
          <w:color w:val="auto"/>
        </w:rPr>
        <w:t>论文中使用量和单位的名称、符号、书写规则都应符合GB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eastAsia"/>
          <w:color w:val="auto"/>
        </w:rPr>
        <w:t>3100、GB/T 3101、GB/T3102的规定。</w:t>
      </w:r>
    </w:p>
    <w:p w14:paraId="16A705A0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表达量值时，一律使用单位的国际符号，且无例外地用正体字母。单位符号与其前面的数值之间应留</w:t>
      </w:r>
      <w:r>
        <w:rPr>
          <w:rFonts w:hint="eastAsia" w:ascii="Times New Roman" w:hAnsi="Times New Roman" w:eastAsia="宋体" w:cs="Times New Roman"/>
          <w:color w:val="auto"/>
          <w:szCs w:val="21"/>
          <w:lang w:val="en-US" w:eastAsia="zh-CN"/>
        </w:rPr>
        <w:t>一英文字符宽度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空隙。</w:t>
      </w:r>
    </w:p>
    <w:p w14:paraId="282019F3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eastAsia"/>
          <w:color w:val="auto"/>
          <w:lang w:eastAsia="zh-CN"/>
        </w:rPr>
        <w:t>应使用法定计量单位，不使用已废弃的非法定计量单位。</w:t>
      </w:r>
    </w:p>
    <w:p w14:paraId="29CF331A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大于999的整数和多于3位数的小数，均宜采用三位分节法分节，即从小数点起向左或向右每3位留适当空隙，如写作1 000、0.000 1。</w:t>
      </w:r>
    </w:p>
    <w:p w14:paraId="0B4684BC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eastAsia"/>
          <w:color w:val="auto"/>
          <w:lang w:eastAsia="zh-CN"/>
        </w:rPr>
        <w:t>不应把单位英文名称的缩写(如rpm、kmph、bps)和表示数量份额的缩写(如ppm、pphm、ppb、ppt)作为单位符号使用。</w:t>
      </w:r>
    </w:p>
    <w:p w14:paraId="31F54271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词头不准许独立使用，如μm不应写作μ。词头不准许重叠使用，如GHz不应写作kMHz。</w:t>
      </w:r>
    </w:p>
    <w:p w14:paraId="2313838C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default"/>
          <w:color w:val="auto"/>
          <w:lang w:val="en-US" w:eastAsia="zh-CN"/>
        </w:rPr>
        <w:t>科学计量中的数值修约和极限数值的表示和判定，应符合GB/T 8170给出的规则。连续性数据分组时，每组数据的量值范围应准确表示。</w:t>
      </w:r>
    </w:p>
    <w:p w14:paraId="03BE9C1E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default"/>
          <w:color w:val="auto"/>
          <w:lang w:val="en-US" w:eastAsia="zh-CN"/>
        </w:rPr>
        <w:t>公式不应使用量的名称或描述量的术语表示。量的名称或多字母缩略术语，不论正体或斜体，亦不论是否含有下标</w:t>
      </w:r>
      <w:r>
        <w:rPr>
          <w:rFonts w:hint="eastAsia"/>
          <w:color w:val="auto"/>
          <w:lang w:val="en-US" w:eastAsia="zh-CN"/>
        </w:rPr>
        <w:t>，都不应该用来代替量的符号。</w:t>
      </w:r>
    </w:p>
    <w:p w14:paraId="294650EE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表示</w:t>
      </w:r>
      <w:r>
        <w:rPr>
          <w:rFonts w:hint="eastAsia" w:ascii="Times New Roman" w:hAnsi="Times New Roman" w:eastAsia="宋体" w:cs="Times New Roman"/>
          <w:color w:val="auto"/>
          <w:szCs w:val="21"/>
          <w:lang w:val="en-US" w:eastAsia="zh-CN"/>
        </w:rPr>
        <w:t>数值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范围时使用波浪线</w:t>
      </w: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>“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~</w:t>
      </w: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>”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。单位相同的量值范围，前一个量的单位宜省略，如1.5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~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3.6 mA，不宜写作1.5 mA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~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3.6 mA。</w:t>
      </w:r>
    </w:p>
    <w:p w14:paraId="50FEE028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szCs w:val="21"/>
          <w:lang w:eastAsia="zh-CN"/>
        </w:rPr>
      </w:pPr>
      <w:r>
        <w:rPr>
          <w:rFonts w:hint="eastAsia" w:ascii="宋体" w:hAnsi="宋体" w:cs="宋体"/>
          <w:color w:val="auto"/>
          <w:szCs w:val="21"/>
          <w:lang w:val="en-US" w:eastAsia="zh-CN"/>
        </w:rPr>
        <w:t>有起点和终点的时间段之间应采用一字线“—”连接，如2020-09-01—12-01；2020-09-01—2023-12-01；</w:t>
      </w:r>
      <w:r>
        <w:rPr>
          <w:rFonts w:hint="eastAsia" w:ascii="宋体" w:hAnsi="宋体" w:cs="宋体"/>
          <w:color w:val="auto"/>
          <w:kern w:val="0"/>
          <w:szCs w:val="21"/>
        </w:rPr>
        <w:t>2017年1月—2023年12月</w:t>
      </w:r>
      <w:r>
        <w:rPr>
          <w:rFonts w:hint="eastAsia" w:ascii="宋体" w:hAnsi="宋体" w:cs="宋体"/>
          <w:color w:val="auto"/>
          <w:kern w:val="0"/>
          <w:szCs w:val="21"/>
          <w:lang w:eastAsia="zh-CN"/>
        </w:rPr>
        <w:t>；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2015—2025年；2023年7—9月。</w:t>
      </w:r>
    </w:p>
    <w:p w14:paraId="4043E860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szCs w:val="21"/>
          <w:lang w:eastAsia="zh-CN"/>
        </w:rPr>
      </w:pPr>
      <w:r>
        <w:rPr>
          <w:rFonts w:hint="eastAsia"/>
          <w:color w:val="auto"/>
          <w:lang w:eastAsia="zh-CN"/>
        </w:rPr>
        <w:t>表示公历世纪、年代、年份、日期和时刻的数字，应符合GB/T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eastAsia"/>
          <w:color w:val="auto"/>
          <w:lang w:eastAsia="zh-CN"/>
        </w:rPr>
        <w:t>74</w:t>
      </w:r>
      <w:r>
        <w:rPr>
          <w:rFonts w:hint="eastAsia"/>
          <w:color w:val="auto"/>
          <w:lang w:val="en-US" w:eastAsia="zh-CN"/>
        </w:rPr>
        <w:t>08</w:t>
      </w:r>
      <w:r>
        <w:rPr>
          <w:rFonts w:hint="eastAsia"/>
          <w:color w:val="auto"/>
          <w:lang w:eastAsia="zh-CN"/>
        </w:rPr>
        <w:t>和GB/T 15834的相关规定，如应写作2</w:t>
      </w:r>
      <w:r>
        <w:rPr>
          <w:rFonts w:hint="eastAsia"/>
          <w:color w:val="auto"/>
          <w:lang w:val="en-US" w:eastAsia="zh-CN"/>
        </w:rPr>
        <w:t>0</w:t>
      </w:r>
      <w:r>
        <w:rPr>
          <w:rFonts w:hint="eastAsia"/>
          <w:color w:val="auto"/>
          <w:lang w:eastAsia="zh-CN"/>
        </w:rPr>
        <w:t>世纪</w:t>
      </w:r>
      <w:r>
        <w:rPr>
          <w:rFonts w:hint="eastAsia"/>
          <w:color w:val="auto"/>
          <w:lang w:val="en-US" w:eastAsia="zh-CN"/>
        </w:rPr>
        <w:t>50—70年代，2020年7月28日9时38分5秒。</w:t>
      </w:r>
    </w:p>
    <w:p w14:paraId="4C87C6EC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color w:val="auto"/>
          <w:lang w:eastAsia="zh-CN"/>
        </w:rPr>
      </w:pPr>
      <w:r>
        <w:rPr>
          <w:rFonts w:hint="default"/>
          <w:color w:val="auto"/>
          <w:lang w:val="en-US" w:eastAsia="zh-CN"/>
        </w:rPr>
        <w:t>阿拉伯数字不准许与除“万”“亿”和SI词头中文符号以外的数词连用，如3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default"/>
          <w:color w:val="auto"/>
          <w:lang w:val="en-US" w:eastAsia="zh-CN"/>
        </w:rPr>
        <w:t>500元不应写作3千5百元。</w:t>
      </w:r>
    </w:p>
    <w:p w14:paraId="6452DA8E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szCs w:val="21"/>
          <w:lang w:eastAsia="zh-CN"/>
        </w:rPr>
      </w:pPr>
      <w:r>
        <w:rPr>
          <w:rFonts w:hint="default"/>
          <w:color w:val="auto"/>
          <w:lang w:val="en-US" w:eastAsia="zh-CN"/>
        </w:rPr>
        <w:t>2个数字连用表示的概数和“几”字前后的数字，如三五天、五六小时、七八十米、三十几摄氏度、几十吨等</w:t>
      </w:r>
      <w:r>
        <w:rPr>
          <w:rFonts w:hint="eastAsia"/>
          <w:color w:val="auto"/>
          <w:lang w:val="en-US" w:eastAsia="zh-CN"/>
        </w:rPr>
        <w:t>，</w:t>
      </w:r>
      <w:r>
        <w:rPr>
          <w:rFonts w:hint="default"/>
          <w:color w:val="auto"/>
          <w:lang w:val="en-US" w:eastAsia="zh-CN"/>
        </w:rPr>
        <w:t>应使用汉字数字。</w:t>
      </w:r>
    </w:p>
    <w:p w14:paraId="4F062C9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</w:p>
    <w:p w14:paraId="45B15F09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图表</w:t>
      </w:r>
    </w:p>
    <w:p w14:paraId="7D56199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图题表题：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楷体加黑（内容居中）。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图表编号与图题表题间需空一中文字符</w:t>
      </w:r>
    </w:p>
    <w:p w14:paraId="6A42649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图注表注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：</w:t>
      </w:r>
      <w:r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  <w:t>楷体加黑小5号字（写明“注：”并以句号结尾）</w:t>
      </w:r>
    </w:p>
    <w:p w14:paraId="0F01A66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Symbol" w:hAnsi="Symbol" w:eastAsia="宋体" w:cs="Symbol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示范:</w:t>
      </w:r>
    </w:p>
    <w:p w14:paraId="624D9BA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图1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□□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图题</w:t>
      </w:r>
    </w:p>
    <w:p w14:paraId="3A5AAE7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  <w:t>注：XXXXXXXX。</w:t>
      </w:r>
    </w:p>
    <w:p w14:paraId="32026C3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</w:pPr>
    </w:p>
    <w:p w14:paraId="616820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图片要求：</w:t>
      </w:r>
    </w:p>
    <w:p w14:paraId="6C7D9733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eastAsia="zh-CN"/>
        </w:rPr>
        <w:t>插图应具有自明性、简明性和科学性，大小适当，图中文字清晰可见，其编排应符合CY/T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eastAsia"/>
          <w:color w:val="auto"/>
          <w:lang w:eastAsia="zh-CN"/>
        </w:rPr>
        <w:t>171的规定。</w:t>
      </w:r>
    </w:p>
    <w:p w14:paraId="6C855D2C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本刊为</w:t>
      </w:r>
      <w:r>
        <w:rPr>
          <w:rFonts w:hint="default"/>
          <w:color w:val="auto"/>
          <w:lang w:val="en-US" w:eastAsia="zh-CN"/>
        </w:rPr>
        <w:t>黑白印刷，所有图片请采用无色彩的灰度模式，彩色图请作者确定在灰度模式下具有辨识度，否则添加说明文字，以保证含义明确。</w:t>
      </w:r>
    </w:p>
    <w:p w14:paraId="7718B207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横纵坐标上数值的名称请用中文或符号，不可用英文，并补充单位，注意单位的大小写是否正确。</w:t>
      </w:r>
      <w:r>
        <w:rPr>
          <w:rFonts w:hint="eastAsia"/>
          <w:color w:val="auto"/>
          <w:lang w:eastAsia="zh-CN"/>
        </w:rPr>
        <w:t>当坐标标目同时用量和单位表示时，应采用“量的符号或名称/单位符号”的标准化形式。</w:t>
      </w:r>
    </w:p>
    <w:p w14:paraId="7C0443A6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图的横纵比尽量为</w:t>
      </w:r>
      <w:r>
        <w:rPr>
          <w:rFonts w:hint="default"/>
          <w:color w:val="auto"/>
          <w:lang w:val="en-US" w:eastAsia="zh-CN"/>
        </w:rPr>
        <w:t>5:4，即横轴/纵轴比例为5:4；图上的刻度值一律向内；原点上必须有值，不可断线起原点；曲线图请添加外框</w:t>
      </w:r>
      <w:r>
        <w:rPr>
          <w:rFonts w:hint="eastAsia"/>
          <w:color w:val="auto"/>
          <w:lang w:val="en-US" w:eastAsia="zh-CN"/>
        </w:rPr>
        <w:t>。</w:t>
      </w:r>
    </w:p>
    <w:p w14:paraId="2E0443E0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eastAsia" w:ascii="宋体" w:hAnsi="宋体" w:cs="宋体"/>
          <w:color w:val="auto"/>
          <w:kern w:val="0"/>
          <w:szCs w:val="21"/>
          <w:lang w:val="en-US" w:eastAsia="zh-CN"/>
        </w:rPr>
      </w:pPr>
      <w:r>
        <w:rPr>
          <w:rFonts w:hint="default"/>
          <w:color w:val="auto"/>
          <w:lang w:val="en-US" w:eastAsia="zh-CN"/>
        </w:rPr>
        <w:t>曲线标识最好用圆、三角、方、星号等常规符号，符号不宜过大，实在标识过多才可用非常规符号。</w:t>
      </w:r>
    </w:p>
    <w:p w14:paraId="67315E99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宋体" w:hAnsi="宋体" w:cs="宋体"/>
          <w:color w:val="auto"/>
          <w:kern w:val="0"/>
          <w:szCs w:val="21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若多图共用图注保留一张图即可。</w:t>
      </w:r>
    </w:p>
    <w:p w14:paraId="3A50F43B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镜下图必须标倍数。</w:t>
      </w:r>
    </w:p>
    <w:p w14:paraId="3856FC9F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图片对应的正文内容是“差异有统计学意义”，但图片内容且正文内容均无法体现统计学差异的，需要补充表格数据。</w:t>
      </w:r>
    </w:p>
    <w:p w14:paraId="1D51A3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表格要求：</w:t>
      </w:r>
    </w:p>
    <w:p w14:paraId="17830242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kern w:val="0"/>
          <w:szCs w:val="21"/>
          <w:lang w:val="en-US" w:eastAsia="zh-CN"/>
        </w:rPr>
      </w:pPr>
      <w:r>
        <w:rPr>
          <w:rFonts w:hint="eastAsia"/>
          <w:color w:val="auto"/>
          <w:lang w:eastAsia="zh-CN"/>
        </w:rPr>
        <w:t>表格是论文重要的组成部分，应具有简明性、自明性和随可读性，其编排应符合CY</w:t>
      </w:r>
      <w:r>
        <w:rPr>
          <w:rFonts w:hint="eastAsia"/>
          <w:color w:val="auto"/>
          <w:lang w:val="en-US" w:eastAsia="zh-CN"/>
        </w:rPr>
        <w:t>/</w:t>
      </w:r>
      <w:r>
        <w:rPr>
          <w:rFonts w:hint="eastAsia"/>
          <w:color w:val="auto"/>
          <w:lang w:eastAsia="zh-CN"/>
        </w:rPr>
        <w:t>T</w:t>
      </w:r>
      <w:r>
        <w:rPr>
          <w:rFonts w:hint="eastAsia"/>
          <w:color w:val="auto"/>
          <w:lang w:val="en-US" w:eastAsia="zh-CN"/>
        </w:rPr>
        <w:t xml:space="preserve"> 1</w:t>
      </w:r>
      <w:r>
        <w:rPr>
          <w:rFonts w:hint="eastAsia"/>
          <w:color w:val="auto"/>
          <w:lang w:eastAsia="zh-CN"/>
        </w:rPr>
        <w:t>70的规定。</w:t>
      </w:r>
    </w:p>
    <w:p w14:paraId="00B47DFE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kern w:val="0"/>
          <w:szCs w:val="21"/>
          <w:lang w:val="en-US" w:eastAsia="zh-CN"/>
        </w:rPr>
      </w:pPr>
      <w:r>
        <w:rPr>
          <w:rFonts w:hint="eastAsia" w:ascii="宋体" w:hAnsi="宋体" w:cs="宋体"/>
          <w:color w:val="auto"/>
          <w:szCs w:val="21"/>
          <w:lang w:val="en-US" w:eastAsia="zh-CN"/>
        </w:rPr>
        <w:t>表格中不必写出具体</w:t>
      </w:r>
      <w:r>
        <w:rPr>
          <w:rFonts w:hint="eastAsia" w:ascii="宋体" w:hAnsi="宋体" w:cs="宋体"/>
          <w:i/>
          <w:iCs/>
          <w:color w:val="auto"/>
          <w:szCs w:val="21"/>
          <w:lang w:val="en-US" w:eastAsia="zh-CN"/>
        </w:rPr>
        <w:t>t</w:t>
      </w:r>
      <w:r>
        <w:rPr>
          <w:rFonts w:hint="eastAsia" w:ascii="宋体" w:hAnsi="宋体" w:cs="宋体"/>
          <w:i w:val="0"/>
          <w:iCs w:val="0"/>
          <w:color w:val="auto"/>
          <w:szCs w:val="21"/>
          <w:lang w:val="en-US" w:eastAsia="zh-CN"/>
        </w:rPr>
        <w:t>值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、卡方值等，采用*，#，△符号标注并在表注中说明即可。</w:t>
      </w:r>
      <w:r>
        <w:rPr>
          <w:rFonts w:hint="eastAsia" w:ascii="Times New Roman" w:hAnsi="Times New Roman"/>
          <w:color w:val="auto"/>
          <w:szCs w:val="21"/>
          <w:lang w:eastAsia="zh-CN"/>
        </w:rPr>
        <w:t>表头中的“</w:t>
      </w:r>
      <w:r>
        <w:rPr>
          <w:rFonts w:hint="eastAsia" w:ascii="Times New Roman" w:hAnsi="Times New Roman"/>
          <w:color w:val="auto"/>
          <w:szCs w:val="21"/>
          <w:lang w:val="en-US" w:eastAsia="zh-CN"/>
        </w:rPr>
        <w:t>例</w:t>
      </w:r>
      <w:r>
        <w:rPr>
          <w:rFonts w:hint="eastAsia" w:ascii="Times New Roman" w:hAnsi="Times New Roman"/>
          <w:color w:val="auto"/>
          <w:szCs w:val="21"/>
          <w:lang w:eastAsia="zh-CN"/>
        </w:rPr>
        <w:t>”</w:t>
      </w:r>
      <w:r>
        <w:rPr>
          <w:rFonts w:hint="eastAsia" w:ascii="Times New Roman" w:hAnsi="Times New Roman"/>
          <w:color w:val="auto"/>
          <w:szCs w:val="21"/>
          <w:lang w:val="en-US" w:eastAsia="zh-CN"/>
        </w:rPr>
        <w:t>统一用</w:t>
      </w:r>
      <w:r>
        <w:rPr>
          <w:rFonts w:hint="eastAsia" w:ascii="Times New Roman" w:hAnsi="Times New Roman"/>
          <w:i/>
          <w:iCs/>
          <w:color w:val="auto"/>
          <w:szCs w:val="21"/>
          <w:lang w:val="en-US" w:eastAsia="zh-CN"/>
        </w:rPr>
        <w:t>n</w:t>
      </w:r>
      <w:r>
        <w:rPr>
          <w:rFonts w:hint="eastAsia" w:ascii="Times New Roman" w:hAnsi="Times New Roman"/>
          <w:color w:val="auto"/>
          <w:szCs w:val="21"/>
          <w:lang w:val="en-US" w:eastAsia="zh-CN"/>
        </w:rPr>
        <w:t>代替。</w:t>
      </w:r>
    </w:p>
    <w:p w14:paraId="741DA046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kern w:val="0"/>
          <w:szCs w:val="21"/>
          <w:lang w:val="en-US" w:eastAsia="zh-CN"/>
        </w:rPr>
      </w:pPr>
      <w:r>
        <w:rPr>
          <w:rFonts w:hint="eastAsia" w:ascii="Times New Roman" w:hAnsi="Times New Roman"/>
          <w:color w:val="auto"/>
          <w:szCs w:val="21"/>
          <w:lang w:val="en-US" w:eastAsia="zh-CN"/>
        </w:rPr>
        <w:t>表头不得使用斜线。</w:t>
      </w:r>
    </w:p>
    <w:p w14:paraId="29CDB49C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szCs w:val="21"/>
          <w:lang w:val="en-US" w:eastAsia="zh-CN"/>
        </w:rPr>
      </w:pPr>
      <w:r>
        <w:rPr>
          <w:rFonts w:hint="default" w:ascii="宋体" w:hAnsi="宋体" w:cs="宋体"/>
          <w:color w:val="auto"/>
          <w:szCs w:val="21"/>
          <w:lang w:val="en-US" w:eastAsia="zh-CN"/>
        </w:rPr>
        <w:t>若全表格所有栏目的单位都相同，宜将共同单位标注在表的右上方。</w:t>
      </w:r>
    </w:p>
    <w:p w14:paraId="37E7277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textAlignment w:val="auto"/>
        <w:rPr>
          <w:rFonts w:hint="eastAsia" w:ascii="宋体" w:hAnsi="宋体" w:cs="宋体"/>
          <w:b/>
          <w:bCs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Cs w:val="21"/>
          <w:lang w:val="en-US" w:eastAsia="zh-CN"/>
        </w:rPr>
        <w:t>示范：</w:t>
      </w:r>
    </w:p>
    <w:p w14:paraId="46D0CF4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jc w:val="center"/>
        <w:textAlignment w:val="auto"/>
        <w:rPr>
          <w:rFonts w:hint="default" w:ascii="宋体" w:hAnsi="宋体" w:cs="宋体"/>
          <w:b/>
          <w:bCs/>
          <w:color w:val="auto"/>
          <w:szCs w:val="21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表1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□□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表题</w:t>
      </w:r>
    </w:p>
    <w:tbl>
      <w:tblPr>
        <w:tblStyle w:val="4"/>
        <w:tblW w:w="4757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9"/>
        <w:gridCol w:w="2100"/>
        <w:gridCol w:w="2123"/>
        <w:gridCol w:w="2046"/>
      </w:tblGrid>
      <w:tr w14:paraId="6C3DEAB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34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B05AB88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分组</w:t>
            </w:r>
          </w:p>
        </w:tc>
        <w:tc>
          <w:tcPr>
            <w:tcW w:w="1295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60221F6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剂量</w:t>
            </w:r>
            <w:r>
              <w:rPr>
                <w:rFonts w:hint="eastAsia" w:ascii="Times New Roman" w:hAnsi="Times New Roman" w:cs="宋体"/>
                <w:color w:val="auto"/>
                <w:szCs w:val="21"/>
              </w:rPr>
              <w:t>mg/</w:t>
            </w:r>
            <w:r>
              <w:rPr>
                <w:rFonts w:hint="eastAsia" w:ascii="Times New Roman" w:hAnsi="Times New Roman" w:cs="宋体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zCs w:val="21"/>
              </w:rPr>
              <w:t>kg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·</w:t>
            </w:r>
            <w:r>
              <w:rPr>
                <w:rFonts w:hint="eastAsia" w:ascii="Times New Roman" w:hAnsi="Times New Roman" w:cs="宋体"/>
                <w:color w:val="auto"/>
                <w:szCs w:val="21"/>
              </w:rPr>
              <w:t>d</w:t>
            </w:r>
            <w:r>
              <w:rPr>
                <w:rFonts w:hint="eastAsia" w:ascii="Times New Roman" w:hAnsi="Times New Roman" w:cs="宋体"/>
                <w:color w:val="auto"/>
                <w:szCs w:val="21"/>
                <w:lang w:eastAsia="zh-CN"/>
              </w:rPr>
              <w:t>）</w:t>
            </w:r>
          </w:p>
        </w:tc>
        <w:tc>
          <w:tcPr>
            <w:tcW w:w="1309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DB768DE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到达平台潜伏期</w:t>
            </w:r>
            <w:r>
              <w:rPr>
                <w:rFonts w:hint="eastAsia" w:ascii="Times New Roman" w:hAnsi="宋体" w:cs="宋体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zCs w:val="21"/>
              </w:rPr>
              <w:t>s</w:t>
            </w:r>
            <w:r>
              <w:rPr>
                <w:rFonts w:hint="eastAsia" w:ascii="Times New Roman" w:hAnsi="宋体" w:cs="宋体"/>
                <w:color w:val="auto"/>
                <w:szCs w:val="21"/>
                <w:lang w:eastAsia="zh-CN"/>
              </w:rPr>
              <w:t>）</w:t>
            </w:r>
          </w:p>
        </w:tc>
        <w:tc>
          <w:tcPr>
            <w:tcW w:w="1262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3B6F721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穿越平台次数</w:t>
            </w:r>
            <w:r>
              <w:rPr>
                <w:rFonts w:hint="eastAsia" w:ascii="Times New Roman" w:hAnsi="宋体" w:cs="宋体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Times New Roman" w:hAnsi="宋体" w:cs="宋体"/>
                <w:color w:val="auto"/>
                <w:szCs w:val="21"/>
              </w:rPr>
              <w:t>次</w:t>
            </w:r>
            <w:r>
              <w:rPr>
                <w:rFonts w:hint="eastAsia" w:ascii="Times New Roman" w:hAnsi="宋体" w:cs="宋体"/>
                <w:color w:val="auto"/>
                <w:szCs w:val="21"/>
                <w:lang w:eastAsia="zh-CN"/>
              </w:rPr>
              <w:t>）</w:t>
            </w:r>
          </w:p>
        </w:tc>
      </w:tr>
      <w:tr w14:paraId="0D83C3C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34" w:type="pct"/>
            <w:tcBorders>
              <w:top w:val="single" w:color="auto" w:sz="4" w:space="0"/>
            </w:tcBorders>
            <w:noWrap w:val="0"/>
            <w:vAlign w:val="center"/>
          </w:tcPr>
          <w:p w14:paraId="70B0181A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对照组</w:t>
            </w:r>
          </w:p>
        </w:tc>
        <w:tc>
          <w:tcPr>
            <w:tcW w:w="1295" w:type="pct"/>
            <w:tcBorders>
              <w:top w:val="single" w:color="auto" w:sz="4" w:space="0"/>
            </w:tcBorders>
            <w:noWrap w:val="0"/>
            <w:vAlign w:val="center"/>
          </w:tcPr>
          <w:p w14:paraId="12B13538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-</w:t>
            </w:r>
          </w:p>
        </w:tc>
        <w:tc>
          <w:tcPr>
            <w:tcW w:w="1309" w:type="pct"/>
            <w:tcBorders>
              <w:top w:val="single" w:color="auto" w:sz="4" w:space="0"/>
            </w:tcBorders>
            <w:noWrap w:val="0"/>
            <w:vAlign w:val="center"/>
          </w:tcPr>
          <w:p w14:paraId="0D1508DE">
            <w:pPr>
              <w:widowControl/>
              <w:jc w:val="left"/>
              <w:rPr>
                <w:rFonts w:hint="default" w:ascii="Times New Roman" w:hAnsi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</w:p>
        </w:tc>
        <w:tc>
          <w:tcPr>
            <w:tcW w:w="1262" w:type="pct"/>
            <w:tcBorders>
              <w:top w:val="single" w:color="auto" w:sz="4" w:space="0"/>
            </w:tcBorders>
            <w:noWrap w:val="0"/>
            <w:vAlign w:val="center"/>
          </w:tcPr>
          <w:p w14:paraId="7CF3F42B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</w:p>
        </w:tc>
      </w:tr>
      <w:tr w14:paraId="7C48310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34" w:type="pct"/>
            <w:noWrap w:val="0"/>
            <w:vAlign w:val="center"/>
          </w:tcPr>
          <w:p w14:paraId="077411AE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模型组</w:t>
            </w:r>
          </w:p>
        </w:tc>
        <w:tc>
          <w:tcPr>
            <w:tcW w:w="1295" w:type="pct"/>
            <w:noWrap w:val="0"/>
            <w:vAlign w:val="center"/>
          </w:tcPr>
          <w:p w14:paraId="4BB2B2EE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-</w:t>
            </w:r>
          </w:p>
        </w:tc>
        <w:tc>
          <w:tcPr>
            <w:tcW w:w="1309" w:type="pct"/>
            <w:noWrap w:val="0"/>
            <w:vAlign w:val="center"/>
          </w:tcPr>
          <w:p w14:paraId="0B1DBBE2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hint="eastAsia" w:ascii="Times New Roman" w:hAnsi="Times New Roman"/>
                <w:color w:val="auto"/>
                <w:szCs w:val="21"/>
                <w:vertAlign w:val="superscript"/>
              </w:rPr>
              <w:t>*</w:t>
            </w:r>
          </w:p>
        </w:tc>
        <w:tc>
          <w:tcPr>
            <w:tcW w:w="1262" w:type="pct"/>
            <w:noWrap w:val="0"/>
            <w:vAlign w:val="center"/>
          </w:tcPr>
          <w:p w14:paraId="4E0037B4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hint="eastAsia" w:ascii="Times New Roman" w:hAnsi="Times New Roman"/>
                <w:color w:val="auto"/>
                <w:szCs w:val="21"/>
                <w:vertAlign w:val="superscript"/>
              </w:rPr>
              <w:t>*</w:t>
            </w:r>
          </w:p>
        </w:tc>
      </w:tr>
      <w:tr w14:paraId="4F85BF3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34" w:type="pct"/>
            <w:noWrap w:val="0"/>
            <w:vAlign w:val="center"/>
          </w:tcPr>
          <w:p w14:paraId="6E5FB244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低剂量组</w:t>
            </w:r>
          </w:p>
        </w:tc>
        <w:tc>
          <w:tcPr>
            <w:tcW w:w="1295" w:type="pct"/>
            <w:noWrap w:val="0"/>
            <w:vAlign w:val="center"/>
          </w:tcPr>
          <w:p w14:paraId="3099FFC5">
            <w:pPr>
              <w:widowControl/>
              <w:jc w:val="left"/>
              <w:rPr>
                <w:rFonts w:hint="default" w:ascii="Times New Roman" w:hAnsi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</w:p>
        </w:tc>
        <w:tc>
          <w:tcPr>
            <w:tcW w:w="1309" w:type="pct"/>
            <w:noWrap w:val="0"/>
            <w:vAlign w:val="center"/>
          </w:tcPr>
          <w:p w14:paraId="6FBC9BA5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  <w:vertAlign w:val="superscript"/>
              </w:rPr>
              <w:t>##</w:t>
            </w:r>
          </w:p>
        </w:tc>
        <w:tc>
          <w:tcPr>
            <w:tcW w:w="1262" w:type="pct"/>
            <w:noWrap w:val="0"/>
            <w:vAlign w:val="center"/>
          </w:tcPr>
          <w:p w14:paraId="3DD1B3EA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  <w:vertAlign w:val="superscript"/>
              </w:rPr>
              <w:t>##</w:t>
            </w:r>
          </w:p>
        </w:tc>
      </w:tr>
      <w:tr w14:paraId="712CDDB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34" w:type="pct"/>
            <w:noWrap w:val="0"/>
            <w:vAlign w:val="center"/>
          </w:tcPr>
          <w:p w14:paraId="6ED9AA43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中剂量组</w:t>
            </w:r>
          </w:p>
        </w:tc>
        <w:tc>
          <w:tcPr>
            <w:tcW w:w="1295" w:type="pct"/>
            <w:noWrap w:val="0"/>
            <w:vAlign w:val="center"/>
          </w:tcPr>
          <w:p w14:paraId="283C8E47">
            <w:pPr>
              <w:widowControl/>
              <w:jc w:val="left"/>
              <w:rPr>
                <w:rFonts w:hint="default" w:ascii="Times New Roman" w:hAnsi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</w:p>
        </w:tc>
        <w:tc>
          <w:tcPr>
            <w:tcW w:w="1309" w:type="pct"/>
            <w:noWrap w:val="0"/>
            <w:vAlign w:val="center"/>
          </w:tcPr>
          <w:p w14:paraId="613C69AC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  <w:vertAlign w:val="superscript"/>
              </w:rPr>
              <w:t>##</w:t>
            </w:r>
            <w:r>
              <w:rPr>
                <w:rFonts w:hint="eastAsia" w:ascii="Times New Roman" w:hAnsi="Times New Roman"/>
                <w:color w:val="auto"/>
                <w:szCs w:val="21"/>
                <w:vertAlign w:val="superscript"/>
              </w:rPr>
              <w:t>△</w:t>
            </w:r>
          </w:p>
        </w:tc>
        <w:tc>
          <w:tcPr>
            <w:tcW w:w="1262" w:type="pct"/>
            <w:noWrap w:val="0"/>
            <w:vAlign w:val="center"/>
          </w:tcPr>
          <w:p w14:paraId="29665F48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  <w:vertAlign w:val="superscript"/>
              </w:rPr>
              <w:t>##</w:t>
            </w:r>
          </w:p>
        </w:tc>
      </w:tr>
      <w:tr w14:paraId="2121217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34" w:type="pct"/>
            <w:noWrap w:val="0"/>
            <w:vAlign w:val="center"/>
          </w:tcPr>
          <w:p w14:paraId="3207CFCA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高剂量组</w:t>
            </w:r>
          </w:p>
        </w:tc>
        <w:tc>
          <w:tcPr>
            <w:tcW w:w="1295" w:type="pct"/>
            <w:noWrap w:val="0"/>
            <w:vAlign w:val="center"/>
          </w:tcPr>
          <w:p w14:paraId="0E4AA502">
            <w:pPr>
              <w:widowControl/>
              <w:jc w:val="left"/>
              <w:rPr>
                <w:rFonts w:hint="default" w:ascii="Times New Roman" w:hAnsi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</w:p>
        </w:tc>
        <w:tc>
          <w:tcPr>
            <w:tcW w:w="1309" w:type="pct"/>
            <w:noWrap w:val="0"/>
            <w:vAlign w:val="center"/>
          </w:tcPr>
          <w:p w14:paraId="70DF132E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  <w:vertAlign w:val="superscript"/>
              </w:rPr>
              <w:t>##</w:t>
            </w:r>
          </w:p>
        </w:tc>
        <w:tc>
          <w:tcPr>
            <w:tcW w:w="1262" w:type="pct"/>
            <w:noWrap w:val="0"/>
            <w:vAlign w:val="center"/>
          </w:tcPr>
          <w:p w14:paraId="06FC865D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  <w:vertAlign w:val="superscript"/>
              </w:rPr>
              <w:t>##</w:t>
            </w:r>
          </w:p>
        </w:tc>
      </w:tr>
    </w:tbl>
    <w:p w14:paraId="62566FED">
      <w:pPr>
        <w:jc w:val="left"/>
        <w:rPr>
          <w:rFonts w:hint="eastAsia" w:ascii="Times New Roman" w:hAnsi="Times New Roman" w:eastAsiaTheme="minorEastAsia"/>
          <w:color w:val="auto"/>
          <w:szCs w:val="21"/>
          <w:lang w:eastAsia="zh-CN"/>
        </w:rPr>
      </w:pPr>
      <w:r>
        <w:rPr>
          <w:rFonts w:hint="eastAsia" w:ascii="Times New Roman" w:hAnsi="Times New Roman"/>
          <w:color w:val="auto"/>
          <w:szCs w:val="21"/>
          <w:lang w:eastAsia="zh-CN"/>
        </w:rPr>
        <w:t>注：</w:t>
      </w:r>
      <w:r>
        <w:rPr>
          <w:rFonts w:hint="eastAsia" w:ascii="Times New Roman" w:hAnsi="Times New Roman"/>
          <w:color w:val="auto"/>
          <w:szCs w:val="21"/>
        </w:rPr>
        <w:t>与对照组相比</w:t>
      </w:r>
      <w:r>
        <w:rPr>
          <w:rFonts w:hint="eastAsia" w:ascii="Times New Roman" w:hAnsi="Times New Roman"/>
          <w:color w:val="auto"/>
          <w:szCs w:val="21"/>
          <w:vertAlign w:val="superscript"/>
        </w:rPr>
        <w:t>*</w:t>
      </w:r>
      <w:r>
        <w:rPr>
          <w:rFonts w:hint="eastAsia" w:ascii="Times New Roman" w:hAnsi="Times New Roman"/>
          <w:i/>
          <w:color w:val="auto"/>
          <w:szCs w:val="21"/>
          <w:lang w:eastAsia="zh-CN"/>
        </w:rPr>
        <w:t>P</w:t>
      </w:r>
      <w:r>
        <w:rPr>
          <w:rFonts w:hint="eastAsia" w:ascii="Times New Roman" w:hAnsi="Times New Roman"/>
          <w:b w:val="0"/>
          <w:i w:val="0"/>
          <w:color w:val="auto"/>
          <w:szCs w:val="21"/>
          <w:lang w:eastAsia="zh-CN"/>
        </w:rPr>
        <w:t>＜</w:t>
      </w:r>
      <w:r>
        <w:rPr>
          <w:rFonts w:hint="eastAsia" w:ascii="Times New Roman" w:hAnsi="Times New Roman"/>
          <w:color w:val="auto"/>
          <w:szCs w:val="21"/>
        </w:rPr>
        <w:t>0.05，</w:t>
      </w:r>
      <w:r>
        <w:rPr>
          <w:rFonts w:hint="eastAsia" w:ascii="Times New Roman" w:hAnsi="Times New Roman"/>
          <w:color w:val="auto"/>
          <w:szCs w:val="21"/>
          <w:vertAlign w:val="superscript"/>
        </w:rPr>
        <w:t>**</w:t>
      </w:r>
      <w:r>
        <w:rPr>
          <w:rFonts w:hint="eastAsia" w:ascii="Times New Roman" w:hAnsi="Times New Roman"/>
          <w:i/>
          <w:color w:val="auto"/>
          <w:szCs w:val="21"/>
          <w:lang w:eastAsia="zh-CN"/>
        </w:rPr>
        <w:t>P</w:t>
      </w:r>
      <w:r>
        <w:rPr>
          <w:rFonts w:hint="eastAsia" w:ascii="Times New Roman" w:hAnsi="Times New Roman"/>
          <w:b w:val="0"/>
          <w:i w:val="0"/>
          <w:color w:val="auto"/>
          <w:szCs w:val="21"/>
          <w:lang w:eastAsia="zh-CN"/>
        </w:rPr>
        <w:t>＜</w:t>
      </w:r>
      <w:r>
        <w:rPr>
          <w:rFonts w:hint="eastAsia" w:ascii="Times New Roman" w:hAnsi="Times New Roman"/>
          <w:color w:val="auto"/>
          <w:szCs w:val="21"/>
        </w:rPr>
        <w:t>0.01，与模型组相比</w:t>
      </w:r>
      <w:r>
        <w:rPr>
          <w:rFonts w:hint="eastAsia" w:ascii="Times New Roman" w:hAnsi="Times New Roman"/>
          <w:color w:val="auto"/>
          <w:szCs w:val="21"/>
          <w:vertAlign w:val="superscript"/>
        </w:rPr>
        <w:t>#</w:t>
      </w:r>
      <w:r>
        <w:rPr>
          <w:rFonts w:hint="eastAsia" w:ascii="Times New Roman" w:hAnsi="Times New Roman"/>
          <w:i/>
          <w:color w:val="auto"/>
          <w:szCs w:val="21"/>
          <w:lang w:eastAsia="zh-CN"/>
        </w:rPr>
        <w:t>P</w:t>
      </w:r>
      <w:r>
        <w:rPr>
          <w:rFonts w:hint="eastAsia" w:ascii="Times New Roman" w:hAnsi="Times New Roman"/>
          <w:b w:val="0"/>
          <w:i w:val="0"/>
          <w:color w:val="auto"/>
          <w:szCs w:val="21"/>
          <w:lang w:eastAsia="zh-CN"/>
        </w:rPr>
        <w:t>＜</w:t>
      </w:r>
      <w:r>
        <w:rPr>
          <w:rFonts w:hint="eastAsia" w:ascii="Times New Roman" w:hAnsi="Times New Roman"/>
          <w:color w:val="auto"/>
          <w:szCs w:val="21"/>
        </w:rPr>
        <w:t>0.05，</w:t>
      </w:r>
      <w:r>
        <w:rPr>
          <w:rFonts w:ascii="Times New Roman" w:hAnsi="Times New Roman"/>
          <w:color w:val="auto"/>
          <w:szCs w:val="21"/>
          <w:vertAlign w:val="superscript"/>
        </w:rPr>
        <w:t>##</w:t>
      </w:r>
      <w:r>
        <w:rPr>
          <w:rFonts w:hint="eastAsia" w:ascii="Times New Roman" w:hAnsi="Times New Roman"/>
          <w:i/>
          <w:color w:val="auto"/>
          <w:szCs w:val="21"/>
          <w:lang w:eastAsia="zh-CN"/>
        </w:rPr>
        <w:t>P</w:t>
      </w:r>
      <w:r>
        <w:rPr>
          <w:rFonts w:hint="eastAsia" w:ascii="Times New Roman" w:hAnsi="Times New Roman"/>
          <w:b w:val="0"/>
          <w:i w:val="0"/>
          <w:color w:val="auto"/>
          <w:szCs w:val="21"/>
          <w:lang w:eastAsia="zh-CN"/>
        </w:rPr>
        <w:t>＜</w:t>
      </w:r>
      <w:r>
        <w:rPr>
          <w:rFonts w:hint="eastAsia" w:ascii="Times New Roman" w:hAnsi="Times New Roman"/>
          <w:color w:val="auto"/>
          <w:szCs w:val="21"/>
        </w:rPr>
        <w:t>0.01，与低剂量组相比</w:t>
      </w:r>
      <w:r>
        <w:rPr>
          <w:rFonts w:hint="eastAsia" w:ascii="Times New Roman" w:hAnsi="Times New Roman"/>
          <w:color w:val="auto"/>
          <w:szCs w:val="21"/>
          <w:vertAlign w:val="superscript"/>
        </w:rPr>
        <w:t>△</w:t>
      </w:r>
      <w:r>
        <w:rPr>
          <w:rFonts w:hint="eastAsia" w:ascii="Times New Roman" w:hAnsi="Times New Roman"/>
          <w:i/>
          <w:color w:val="auto"/>
          <w:szCs w:val="21"/>
          <w:lang w:eastAsia="zh-CN"/>
        </w:rPr>
        <w:t>P</w:t>
      </w:r>
      <w:r>
        <w:rPr>
          <w:rFonts w:hint="eastAsia" w:ascii="Times New Roman" w:hAnsi="Times New Roman"/>
          <w:b w:val="0"/>
          <w:i w:val="0"/>
          <w:color w:val="auto"/>
          <w:szCs w:val="21"/>
          <w:lang w:eastAsia="zh-CN"/>
        </w:rPr>
        <w:t>＜</w:t>
      </w:r>
      <w:r>
        <w:rPr>
          <w:rFonts w:hint="eastAsia" w:ascii="Times New Roman" w:hAnsi="Times New Roman"/>
          <w:color w:val="auto"/>
          <w:szCs w:val="21"/>
        </w:rPr>
        <w:t>0.05</w:t>
      </w:r>
      <w:r>
        <w:rPr>
          <w:rFonts w:hint="eastAsia" w:ascii="Times New Roman" w:hAnsi="Times New Roman"/>
          <w:color w:val="auto"/>
          <w:szCs w:val="21"/>
          <w:lang w:eastAsia="zh-CN"/>
        </w:rPr>
        <w:t>。</w:t>
      </w:r>
    </w:p>
    <w:p w14:paraId="1BA296B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textAlignment w:val="auto"/>
        <w:rPr>
          <w:rFonts w:hint="eastAsia" w:ascii="宋体" w:hAnsi="宋体" w:cs="宋体"/>
          <w:color w:val="auto"/>
          <w:szCs w:val="21"/>
          <w:lang w:val="en-US" w:eastAsia="zh-CN"/>
        </w:rPr>
      </w:pPr>
    </w:p>
    <w:p w14:paraId="755F02C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六、参考文献</w:t>
      </w:r>
    </w:p>
    <w:p w14:paraId="5BCA8B92">
      <w:pPr>
        <w:keepNext w:val="0"/>
        <w:keepLines w:val="0"/>
        <w:pageBreakBefore w:val="0"/>
        <w:widowControl/>
        <w:numPr>
          <w:ilvl w:val="0"/>
          <w:numId w:val="8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</w:pPr>
      <w:bookmarkStart w:id="2" w:name="OLE_LINK20"/>
      <w:bookmarkStart w:id="3" w:name="OLE_LINK12"/>
      <w:r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论文中应引用与研究主题密切相关的近年参考文献。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讲话、报告等应避免使用二次转载文章。</w:t>
      </w:r>
    </w:p>
    <w:p w14:paraId="38190E75">
      <w:pPr>
        <w:keepNext w:val="0"/>
        <w:keepLines w:val="0"/>
        <w:pageBreakBefore w:val="0"/>
        <w:widowControl/>
        <w:numPr>
          <w:ilvl w:val="0"/>
          <w:numId w:val="8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正文中标注参考文献时，连续两篇及两篇以上使用连接符“-”，不连续使用逗号“,”。如：</w:t>
      </w:r>
      <w:r>
        <w:rPr>
          <w:rFonts w:ascii="Times New Roman" w:hAnsi="Times New Roman"/>
          <w:color w:val="auto"/>
          <w:sz w:val="18"/>
          <w:szCs w:val="18"/>
          <w:vertAlign w:val="superscript"/>
        </w:rPr>
        <w:t>[</w:t>
      </w:r>
      <w:r>
        <w:rPr>
          <w:rFonts w:hint="eastAsia" w:ascii="Times New Roman" w:hAnsi="Times New Roman"/>
          <w:color w:val="auto"/>
          <w:sz w:val="18"/>
          <w:szCs w:val="18"/>
          <w:vertAlign w:val="superscript"/>
          <w:lang w:val="en-US" w:eastAsia="zh-CN"/>
        </w:rPr>
        <w:t>1-2,5</w:t>
      </w:r>
      <w:r>
        <w:rPr>
          <w:rFonts w:ascii="Times New Roman" w:hAnsi="Times New Roman"/>
          <w:color w:val="auto"/>
          <w:sz w:val="18"/>
          <w:szCs w:val="18"/>
          <w:vertAlign w:val="superscript"/>
        </w:rPr>
        <w:t>]</w:t>
      </w:r>
      <w:r>
        <w:rPr>
          <w:rFonts w:hint="eastAsia" w:ascii="Times New Roman" w:hAnsi="Times New Roman"/>
          <w:color w:val="auto"/>
          <w:sz w:val="18"/>
          <w:szCs w:val="18"/>
          <w:lang w:eastAsia="zh-CN"/>
        </w:rPr>
        <w:t>。</w:t>
      </w:r>
    </w:p>
    <w:p w14:paraId="11E8472D">
      <w:pPr>
        <w:keepNext w:val="0"/>
        <w:keepLines w:val="0"/>
        <w:pageBreakBefore w:val="0"/>
        <w:widowControl/>
        <w:numPr>
          <w:ilvl w:val="0"/>
          <w:numId w:val="8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引用标准文件时需在正文明确写出文件名，如：“符合《喉癌外科手术及综合治疗专家共识》中的诊断标准”，并标注原始文献出处。</w:t>
      </w:r>
    </w:p>
    <w:p w14:paraId="0FCBAC7B">
      <w:pPr>
        <w:keepNext w:val="0"/>
        <w:keepLines w:val="0"/>
        <w:pageBreakBefore w:val="0"/>
        <w:widowControl/>
        <w:numPr>
          <w:ilvl w:val="0"/>
          <w:numId w:val="8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2"/>
          <w:sz w:val="18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英文作者名表述方式：姓全拼+名首字母缩写。如：</w:t>
      </w:r>
      <w:r>
        <w:rPr>
          <w:rFonts w:hint="default" w:ascii="Times New Roman" w:hAnsi="Times New Roman" w:eastAsia="宋体" w:cs="Times New Roman"/>
          <w:color w:val="auto"/>
          <w:kern w:val="2"/>
          <w:sz w:val="18"/>
          <w:szCs w:val="24"/>
          <w:lang w:val="en-US" w:eastAsia="zh-CN" w:bidi="ar-SA"/>
        </w:rPr>
        <w:t>Hallett MA</w:t>
      </w:r>
      <w:bookmarkEnd w:id="2"/>
    </w:p>
    <w:p w14:paraId="5BE0496F">
      <w:pPr>
        <w:keepNext w:val="0"/>
        <w:keepLines w:val="0"/>
        <w:pageBreakBefore w:val="0"/>
        <w:widowControl/>
        <w:numPr>
          <w:ilvl w:val="0"/>
          <w:numId w:val="8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2"/>
          <w:sz w:val="18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英文引用文献中，标点符号使用半角，后接空格，期刊名使用官方缩写名，注意使用正确的标点符号：作者A, 作者B, 作者C, et al. 文章名</w:t>
      </w:r>
      <w:r>
        <w:rPr>
          <w:rFonts w:hint="default" w:ascii="Times New Roman" w:hAnsi="Times New Roman" w:eastAsia="宋体" w:cs="Times New Roman"/>
          <w:color w:val="auto"/>
          <w:kern w:val="2"/>
          <w:sz w:val="21"/>
          <w:szCs w:val="21"/>
          <w:lang w:val="en-US" w:eastAsia="zh-CN" w:bidi="ar-SA"/>
        </w:rPr>
        <w:t xml:space="preserve">[J]. </w:t>
      </w:r>
      <w:r>
        <w:rPr>
          <w:rFonts w:hint="eastAsia" w:ascii="Times New Roman" w:hAnsi="Times New Roman" w:eastAsia="宋体" w:cs="Times New Roman"/>
          <w:color w:val="auto"/>
          <w:kern w:val="2"/>
          <w:sz w:val="21"/>
          <w:szCs w:val="21"/>
          <w:lang w:val="en-US" w:eastAsia="zh-CN" w:bidi="ar-SA"/>
        </w:rPr>
        <w:t>期刊缩写名, 年, 卷(期): 页码-页码.</w:t>
      </w:r>
    </w:p>
    <w:p w14:paraId="7219676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0" w:leftChars="200" w:firstLine="0" w:firstLineChars="0"/>
        <w:jc w:val="left"/>
        <w:textAlignment w:val="auto"/>
        <w:rPr>
          <w:rFonts w:hint="eastAsia" w:ascii="Times New Roman" w:hAnsi="Times New Roman" w:eastAsia="宋体" w:cs="Times New Roman"/>
          <w:b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2"/>
          <w:sz w:val="21"/>
          <w:szCs w:val="21"/>
          <w:lang w:val="en-US" w:eastAsia="zh-CN" w:bidi="ar-SA"/>
        </w:rPr>
        <w:t>示范：</w:t>
      </w:r>
    </w:p>
    <w:p w14:paraId="0A2D09A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0" w:leftChars="200" w:firstLine="0" w:firstLineChars="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2"/>
          <w:sz w:val="18"/>
          <w:szCs w:val="24"/>
          <w:lang w:val="en-US" w:eastAsia="zh-CN" w:bidi="ar-SA"/>
        </w:rPr>
      </w:pPr>
      <w:bookmarkStart w:id="4" w:name="OLE_LINK21"/>
      <w:r>
        <w:rPr>
          <w:rFonts w:hint="default" w:ascii="Times New Roman" w:hAnsi="Times New Roman" w:eastAsia="宋体" w:cs="Times New Roman"/>
          <w:color w:val="auto"/>
          <w:kern w:val="2"/>
          <w:sz w:val="21"/>
          <w:szCs w:val="21"/>
          <w:lang w:val="en-US" w:eastAsia="zh-CN" w:bidi="ar-SA"/>
        </w:rPr>
        <w:t>Harwood JL, Alexander JH, Mayerson JL, et al. Targeted Chemotherapy in Bone and Soft-Tissue Sarcoma[J]. Orthop Clin North Am, 2015, 46(4): 587-608.</w:t>
      </w:r>
      <w:bookmarkEnd w:id="4"/>
    </w:p>
    <w:p w14:paraId="4A7A4A95">
      <w:pPr>
        <w:keepNext w:val="0"/>
        <w:keepLines w:val="0"/>
        <w:pageBreakBefore w:val="0"/>
        <w:widowControl/>
        <w:numPr>
          <w:ilvl w:val="0"/>
          <w:numId w:val="8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中文引用文献中，标点符号使用全角。</w:t>
      </w:r>
    </w:p>
    <w:p w14:paraId="63EA44E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0" w:leftChars="200" w:firstLine="0" w:firstLineChars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 w:bidi="ar"/>
        </w:rPr>
        <w:t>示范：</w:t>
      </w:r>
    </w:p>
    <w:p w14:paraId="71792BD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0" w:leftChars="200" w:firstLine="0" w:firstLineChars="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曹海营，冯震，赵景新，等. 一次性密封栓封堵骨孔制作兔骨肿瘤模型实验研究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[J]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 xml:space="preserve">. 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中华实用诊断与治疗杂志，2016，30（6）：563-565.</w:t>
      </w:r>
    </w:p>
    <w:p w14:paraId="7D6DC537">
      <w:pPr>
        <w:keepNext w:val="0"/>
        <w:keepLines w:val="0"/>
        <w:pageBreakBefore w:val="0"/>
        <w:widowControl/>
        <w:numPr>
          <w:ilvl w:val="0"/>
          <w:numId w:val="8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/>
          <w:color w:val="auto"/>
          <w:lang w:val="en-US" w:eastAsia="zh-CN"/>
        </w:rPr>
        <w:t>存在三名以上作者时，需依序写明前三名作者姓名，其余作者以等或et al代替。</w:t>
      </w:r>
      <w:bookmarkEnd w:id="3"/>
    </w:p>
    <w:p w14:paraId="516A1A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/>
          <w:color w:val="auto"/>
          <w:lang w:eastAsia="zh-CN"/>
        </w:rPr>
      </w:pPr>
      <w:bookmarkStart w:id="5" w:name="OLE_LINK4"/>
      <w:bookmarkStart w:id="6" w:name="OLE_LINK5"/>
    </w:p>
    <w:p w14:paraId="7A0929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/>
          <w:color w:val="auto"/>
          <w:lang w:eastAsia="zh-CN"/>
        </w:rPr>
      </w:pPr>
      <w:r>
        <w:rPr>
          <w:rFonts w:hint="eastAsia"/>
          <w:b/>
          <w:bCs/>
          <w:color w:val="auto"/>
          <w:lang w:eastAsia="zh-CN"/>
        </w:rPr>
        <w:t>收稿日期</w:t>
      </w:r>
      <w:r>
        <w:rPr>
          <w:rFonts w:hint="eastAsia"/>
          <w:color w:val="auto"/>
          <w:lang w:eastAsia="zh-CN"/>
        </w:rPr>
        <w:t>：以投稿系统显示的编辑部收稿时间为准，非作者投稿日期。</w:t>
      </w:r>
      <w:bookmarkEnd w:id="5"/>
      <w:bookmarkEnd w:id="6"/>
    </w:p>
    <w:p w14:paraId="26069B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置于文末参考文献后，右对齐。示范：</w:t>
      </w:r>
    </w:p>
    <w:p w14:paraId="4016DA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right"/>
        <w:textAlignment w:val="auto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（</w:t>
      </w:r>
      <w:r>
        <w:rPr>
          <w:rFonts w:hint="eastAsia"/>
          <w:color w:val="auto"/>
        </w:rPr>
        <w:t>收稿日期：202</w:t>
      </w:r>
      <w:r>
        <w:rPr>
          <w:rFonts w:hint="eastAsia"/>
          <w:color w:val="auto"/>
          <w:lang w:val="en-US" w:eastAsia="zh-CN"/>
        </w:rPr>
        <w:t>4</w:t>
      </w:r>
      <w:r>
        <w:rPr>
          <w:rFonts w:hint="eastAsia"/>
          <w:color w:val="auto"/>
        </w:rPr>
        <w:t>-02-25</w:t>
      </w:r>
      <w:r>
        <w:rPr>
          <w:rFonts w:hint="eastAsia"/>
          <w:color w:val="auto"/>
          <w:lang w:eastAsia="zh-CN"/>
        </w:rPr>
        <w:t>）</w:t>
      </w:r>
    </w:p>
    <w:p w14:paraId="6CE75E7A">
      <w:pPr>
        <w:pStyle w:val="9"/>
        <w:ind w:left="360" w:firstLine="0" w:firstLineChars="0"/>
        <w:jc w:val="right"/>
        <w:rPr>
          <w:color w:val="auto"/>
        </w:rPr>
      </w:pPr>
    </w:p>
    <w:p w14:paraId="46C7C772">
      <w:pPr>
        <w:autoSpaceDE w:val="0"/>
        <w:autoSpaceDN w:val="0"/>
        <w:adjustRightInd w:val="0"/>
        <w:spacing w:line="360" w:lineRule="auto"/>
        <w:rPr>
          <w:rFonts w:ascii="宋体" w:hAnsi="宋体" w:cs="宋体"/>
          <w:color w:val="auto"/>
          <w:szCs w:val="21"/>
        </w:rPr>
      </w:pPr>
    </w:p>
    <w:p w14:paraId="5188C36C">
      <w:pPr>
        <w:autoSpaceDE w:val="0"/>
        <w:autoSpaceDN w:val="0"/>
        <w:adjustRightInd w:val="0"/>
        <w:spacing w:line="360" w:lineRule="auto"/>
        <w:rPr>
          <w:rFonts w:ascii="宋体" w:hAnsi="宋体" w:cs="宋体"/>
          <w:color w:val="auto"/>
          <w:szCs w:val="21"/>
        </w:rPr>
      </w:pPr>
    </w:p>
    <w:p w14:paraId="5C1A69CF">
      <w:pPr>
        <w:autoSpaceDE w:val="0"/>
        <w:autoSpaceDN w:val="0"/>
        <w:adjustRightInd w:val="0"/>
        <w:spacing w:line="360" w:lineRule="auto"/>
        <w:rPr>
          <w:rFonts w:hint="eastAsia" w:ascii="宋体" w:hAnsi="宋体" w:cs="宋体"/>
          <w:color w:val="auto"/>
          <w:szCs w:val="21"/>
          <w:lang w:eastAsia="zh-CN"/>
        </w:rPr>
      </w:pPr>
      <w:bookmarkStart w:id="7" w:name="OLE_LINK18"/>
    </w:p>
    <w:bookmarkEnd w:id="7"/>
    <w:p w14:paraId="3FBAE0A9">
      <w:pPr>
        <w:autoSpaceDE w:val="0"/>
        <w:autoSpaceDN w:val="0"/>
        <w:adjustRightInd w:val="0"/>
        <w:spacing w:line="360" w:lineRule="auto"/>
        <w:rPr>
          <w:rFonts w:hint="eastAsia" w:ascii="宋体" w:hAnsi="宋体" w:cs="宋体"/>
          <w:color w:val="auto"/>
          <w:szCs w:val="21"/>
          <w:lang w:eastAsia="zh-CN"/>
        </w:rPr>
      </w:pPr>
    </w:p>
    <w:p w14:paraId="13BCE9A4">
      <w:pPr>
        <w:autoSpaceDE w:val="0"/>
        <w:autoSpaceDN w:val="0"/>
        <w:adjustRightInd w:val="0"/>
        <w:spacing w:line="360" w:lineRule="auto"/>
        <w:rPr>
          <w:rFonts w:ascii="宋体" w:hAnsi="宋体" w:cs="宋体"/>
          <w:color w:val="auto"/>
          <w:szCs w:val="21"/>
        </w:rPr>
      </w:pPr>
    </w:p>
    <w:p w14:paraId="79E08EB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default" w:ascii="微软雅黑" w:hAnsi="微软雅黑" w:eastAsia="微软雅黑"/>
          <w:color w:val="auto"/>
          <w:sz w:val="21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4">
    <w:p>
      <w:r>
        <w:separator/>
      </w:r>
    </w:p>
  </w:footnote>
  <w:footnote w:type="continuationSeparator" w:id="5">
    <w:p>
      <w:r>
        <w:continuationSeparator/>
      </w:r>
    </w:p>
  </w:footnote>
  <w:footnote w:id="0">
    <w:p w14:paraId="5C470AD0">
      <w:pPr>
        <w:pStyle w:val="3"/>
        <w:rPr>
          <w:rFonts w:hint="eastAsia" w:eastAsia="宋体" w:cs="Times New Roman"/>
          <w:lang w:eastAsia="zh-CN"/>
        </w:rPr>
      </w:pPr>
      <w:r>
        <w:rPr>
          <w:rFonts w:hint="eastAsia" w:eastAsia="宋体" w:cs="Times New Roman"/>
          <w:lang w:eastAsia="zh-CN"/>
        </w:rPr>
        <w:t>资助项目：项目名称（编号）</w:t>
      </w:r>
    </w:p>
    <w:p w14:paraId="2A5F47E7">
      <w:pPr>
        <w:pStyle w:val="3"/>
      </w:pPr>
      <w:r>
        <w:rPr>
          <w:rFonts w:hint="eastAsia"/>
        </w:rPr>
        <w:t>*通讯作者</w:t>
      </w:r>
    </w:p>
  </w:footnote>
  <w:footnote w:id="1">
    <w:p w14:paraId="5D570C7A">
      <w:pPr>
        <w:pStyle w:val="3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2F1623"/>
    <w:multiLevelType w:val="singleLevel"/>
    <w:tmpl w:val="802F162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B68A829C"/>
    <w:multiLevelType w:val="singleLevel"/>
    <w:tmpl w:val="B68A829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D4F4F949"/>
    <w:multiLevelType w:val="singleLevel"/>
    <w:tmpl w:val="D4F4F94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DD354110"/>
    <w:multiLevelType w:val="singleLevel"/>
    <w:tmpl w:val="DD35411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0FE97AE9"/>
    <w:multiLevelType w:val="singleLevel"/>
    <w:tmpl w:val="0FE97A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48499511"/>
    <w:multiLevelType w:val="singleLevel"/>
    <w:tmpl w:val="4849951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6156D151"/>
    <w:multiLevelType w:val="singleLevel"/>
    <w:tmpl w:val="6156D15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6C0A098C"/>
    <w:multiLevelType w:val="singleLevel"/>
    <w:tmpl w:val="6C0A098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2"/>
  </w:num>
  <w:num w:numId="5">
    <w:abstractNumId w:val="6"/>
  </w:num>
  <w:num w:numId="6">
    <w:abstractNumId w:val="0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4"/>
    <w:footnote w:id="5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iOWJiYWY3ZGYyNDQ4YTJiNWFkMGUxMThlMmNjMjIifQ=="/>
  </w:docVars>
  <w:rsids>
    <w:rsidRoot w:val="00172A27"/>
    <w:rsid w:val="00620A1C"/>
    <w:rsid w:val="00664D25"/>
    <w:rsid w:val="007D7D75"/>
    <w:rsid w:val="00925F85"/>
    <w:rsid w:val="00FC4295"/>
    <w:rsid w:val="01626374"/>
    <w:rsid w:val="02895B83"/>
    <w:rsid w:val="02926D31"/>
    <w:rsid w:val="05085485"/>
    <w:rsid w:val="057101B6"/>
    <w:rsid w:val="05802400"/>
    <w:rsid w:val="05FF5BA7"/>
    <w:rsid w:val="06071662"/>
    <w:rsid w:val="0616639A"/>
    <w:rsid w:val="06C517C7"/>
    <w:rsid w:val="07112D65"/>
    <w:rsid w:val="07D2665E"/>
    <w:rsid w:val="081122A2"/>
    <w:rsid w:val="08344B0B"/>
    <w:rsid w:val="089233F5"/>
    <w:rsid w:val="08B73F26"/>
    <w:rsid w:val="09026457"/>
    <w:rsid w:val="092812FB"/>
    <w:rsid w:val="0A7D6C3D"/>
    <w:rsid w:val="0AF05958"/>
    <w:rsid w:val="0B342891"/>
    <w:rsid w:val="0B6D2725"/>
    <w:rsid w:val="0C80750C"/>
    <w:rsid w:val="0D755FC4"/>
    <w:rsid w:val="0DB25420"/>
    <w:rsid w:val="0DC45CC1"/>
    <w:rsid w:val="0E494D36"/>
    <w:rsid w:val="0E4D5CB6"/>
    <w:rsid w:val="10BA243D"/>
    <w:rsid w:val="12337573"/>
    <w:rsid w:val="127C6797"/>
    <w:rsid w:val="13880AB1"/>
    <w:rsid w:val="13AB5F18"/>
    <w:rsid w:val="13BC4D00"/>
    <w:rsid w:val="148E2D7D"/>
    <w:rsid w:val="14C3198F"/>
    <w:rsid w:val="150F5DEE"/>
    <w:rsid w:val="154F4436"/>
    <w:rsid w:val="165D0A7F"/>
    <w:rsid w:val="168719A7"/>
    <w:rsid w:val="168B1EF5"/>
    <w:rsid w:val="18176FF7"/>
    <w:rsid w:val="18922D2D"/>
    <w:rsid w:val="19B40072"/>
    <w:rsid w:val="19D147C8"/>
    <w:rsid w:val="19F254D5"/>
    <w:rsid w:val="1AEE3BA4"/>
    <w:rsid w:val="1AFB6A0F"/>
    <w:rsid w:val="1B716891"/>
    <w:rsid w:val="1BB728E4"/>
    <w:rsid w:val="1BB86323"/>
    <w:rsid w:val="1C5E4AFE"/>
    <w:rsid w:val="1C825D85"/>
    <w:rsid w:val="1C8E5E18"/>
    <w:rsid w:val="1CC63B3A"/>
    <w:rsid w:val="1D175D4D"/>
    <w:rsid w:val="1D23178A"/>
    <w:rsid w:val="1D2968F1"/>
    <w:rsid w:val="1E4A0486"/>
    <w:rsid w:val="1E717516"/>
    <w:rsid w:val="1E9D7663"/>
    <w:rsid w:val="1EAE42D3"/>
    <w:rsid w:val="1F2E33A3"/>
    <w:rsid w:val="200F4023"/>
    <w:rsid w:val="20692E24"/>
    <w:rsid w:val="20885C59"/>
    <w:rsid w:val="211E3A49"/>
    <w:rsid w:val="213170F5"/>
    <w:rsid w:val="2145741F"/>
    <w:rsid w:val="21D8309A"/>
    <w:rsid w:val="220C67A0"/>
    <w:rsid w:val="229C6A4B"/>
    <w:rsid w:val="23F4691F"/>
    <w:rsid w:val="23F549CE"/>
    <w:rsid w:val="24254631"/>
    <w:rsid w:val="24633790"/>
    <w:rsid w:val="24B96E24"/>
    <w:rsid w:val="24F94363"/>
    <w:rsid w:val="25056E93"/>
    <w:rsid w:val="253F19E9"/>
    <w:rsid w:val="25747445"/>
    <w:rsid w:val="2581019B"/>
    <w:rsid w:val="25C21D9A"/>
    <w:rsid w:val="26012BC5"/>
    <w:rsid w:val="263C68E5"/>
    <w:rsid w:val="275F300D"/>
    <w:rsid w:val="282C4737"/>
    <w:rsid w:val="287C746C"/>
    <w:rsid w:val="29630DB5"/>
    <w:rsid w:val="29B67D5B"/>
    <w:rsid w:val="2A595EDB"/>
    <w:rsid w:val="2A5C1303"/>
    <w:rsid w:val="2A726D79"/>
    <w:rsid w:val="2AA94107"/>
    <w:rsid w:val="2ABC6246"/>
    <w:rsid w:val="2C4561EA"/>
    <w:rsid w:val="2C9A6113"/>
    <w:rsid w:val="2CA952D4"/>
    <w:rsid w:val="2CB222EF"/>
    <w:rsid w:val="2D071EA6"/>
    <w:rsid w:val="2D1C60EF"/>
    <w:rsid w:val="2E5844D8"/>
    <w:rsid w:val="2E5D38F8"/>
    <w:rsid w:val="2EA51234"/>
    <w:rsid w:val="2FDC6A42"/>
    <w:rsid w:val="30337207"/>
    <w:rsid w:val="30F0344F"/>
    <w:rsid w:val="3121686C"/>
    <w:rsid w:val="3122046D"/>
    <w:rsid w:val="312B1A2F"/>
    <w:rsid w:val="31434FCB"/>
    <w:rsid w:val="319D20C9"/>
    <w:rsid w:val="31AF3F03"/>
    <w:rsid w:val="31C932DF"/>
    <w:rsid w:val="320254CF"/>
    <w:rsid w:val="333E1630"/>
    <w:rsid w:val="34192324"/>
    <w:rsid w:val="343B4C17"/>
    <w:rsid w:val="34486E82"/>
    <w:rsid w:val="348F22D5"/>
    <w:rsid w:val="349658FA"/>
    <w:rsid w:val="34A42729"/>
    <w:rsid w:val="34B02D86"/>
    <w:rsid w:val="34B30954"/>
    <w:rsid w:val="35875F4B"/>
    <w:rsid w:val="36EE0774"/>
    <w:rsid w:val="37617CA5"/>
    <w:rsid w:val="379C745B"/>
    <w:rsid w:val="37A75A66"/>
    <w:rsid w:val="384851E7"/>
    <w:rsid w:val="38F41088"/>
    <w:rsid w:val="396E4BAF"/>
    <w:rsid w:val="39D5685A"/>
    <w:rsid w:val="3BB10163"/>
    <w:rsid w:val="3BDB2544"/>
    <w:rsid w:val="3C955354"/>
    <w:rsid w:val="3CE71E62"/>
    <w:rsid w:val="3CFD1129"/>
    <w:rsid w:val="3D0B254C"/>
    <w:rsid w:val="3D9077EA"/>
    <w:rsid w:val="3E745F58"/>
    <w:rsid w:val="3EC6092F"/>
    <w:rsid w:val="3F546E59"/>
    <w:rsid w:val="3FA9742B"/>
    <w:rsid w:val="404F012D"/>
    <w:rsid w:val="41EF14D0"/>
    <w:rsid w:val="4284137A"/>
    <w:rsid w:val="433A4925"/>
    <w:rsid w:val="435557DC"/>
    <w:rsid w:val="45132464"/>
    <w:rsid w:val="458434D6"/>
    <w:rsid w:val="45E74EB5"/>
    <w:rsid w:val="46740BAB"/>
    <w:rsid w:val="46B6336F"/>
    <w:rsid w:val="47106EE2"/>
    <w:rsid w:val="471A1ED2"/>
    <w:rsid w:val="477D6FD2"/>
    <w:rsid w:val="47C87C98"/>
    <w:rsid w:val="47DF0429"/>
    <w:rsid w:val="486E4763"/>
    <w:rsid w:val="48FD21F5"/>
    <w:rsid w:val="49C44F15"/>
    <w:rsid w:val="4ACA17AB"/>
    <w:rsid w:val="4AE728D8"/>
    <w:rsid w:val="4BB943B0"/>
    <w:rsid w:val="4C0475F3"/>
    <w:rsid w:val="4C302B2C"/>
    <w:rsid w:val="4CCC4586"/>
    <w:rsid w:val="4D322D6F"/>
    <w:rsid w:val="4EBB392A"/>
    <w:rsid w:val="5029166D"/>
    <w:rsid w:val="505475F5"/>
    <w:rsid w:val="506D39BB"/>
    <w:rsid w:val="50DE0341"/>
    <w:rsid w:val="51844777"/>
    <w:rsid w:val="51981A81"/>
    <w:rsid w:val="51A9016B"/>
    <w:rsid w:val="52264168"/>
    <w:rsid w:val="52402533"/>
    <w:rsid w:val="52427583"/>
    <w:rsid w:val="5289065F"/>
    <w:rsid w:val="52E25269"/>
    <w:rsid w:val="534F2806"/>
    <w:rsid w:val="550A4248"/>
    <w:rsid w:val="55476939"/>
    <w:rsid w:val="55C15D03"/>
    <w:rsid w:val="569C2F3C"/>
    <w:rsid w:val="58852E3A"/>
    <w:rsid w:val="59EC1BC8"/>
    <w:rsid w:val="5A23767E"/>
    <w:rsid w:val="5A6C4322"/>
    <w:rsid w:val="5A904D92"/>
    <w:rsid w:val="5AFC5182"/>
    <w:rsid w:val="5B021C83"/>
    <w:rsid w:val="5B311CCD"/>
    <w:rsid w:val="5BC14BBB"/>
    <w:rsid w:val="5C5D2B35"/>
    <w:rsid w:val="5D2C0ADF"/>
    <w:rsid w:val="5FA567AC"/>
    <w:rsid w:val="6133155F"/>
    <w:rsid w:val="61DC6A3C"/>
    <w:rsid w:val="62113B38"/>
    <w:rsid w:val="622D55BF"/>
    <w:rsid w:val="62946B85"/>
    <w:rsid w:val="62DD5846"/>
    <w:rsid w:val="62ED239F"/>
    <w:rsid w:val="631D5344"/>
    <w:rsid w:val="63C64144"/>
    <w:rsid w:val="63CE5A72"/>
    <w:rsid w:val="647A55B0"/>
    <w:rsid w:val="650961B7"/>
    <w:rsid w:val="658860E3"/>
    <w:rsid w:val="665D476F"/>
    <w:rsid w:val="667E3DD4"/>
    <w:rsid w:val="66D5377E"/>
    <w:rsid w:val="6744638D"/>
    <w:rsid w:val="677E5574"/>
    <w:rsid w:val="68BE2BAE"/>
    <w:rsid w:val="68D0029F"/>
    <w:rsid w:val="69CC6120"/>
    <w:rsid w:val="6B592781"/>
    <w:rsid w:val="6BA14E03"/>
    <w:rsid w:val="6C6A0C76"/>
    <w:rsid w:val="6C727A4A"/>
    <w:rsid w:val="6CB9351E"/>
    <w:rsid w:val="6CDC1CFC"/>
    <w:rsid w:val="6D0C2881"/>
    <w:rsid w:val="6F007153"/>
    <w:rsid w:val="6F3D29FB"/>
    <w:rsid w:val="70474D24"/>
    <w:rsid w:val="705B68E0"/>
    <w:rsid w:val="709F1B9A"/>
    <w:rsid w:val="717A7D6F"/>
    <w:rsid w:val="71EC2ED3"/>
    <w:rsid w:val="72C963D7"/>
    <w:rsid w:val="731E2E6D"/>
    <w:rsid w:val="73883ACD"/>
    <w:rsid w:val="73CF47A1"/>
    <w:rsid w:val="74AD1241"/>
    <w:rsid w:val="75C73CC3"/>
    <w:rsid w:val="76656553"/>
    <w:rsid w:val="773003D4"/>
    <w:rsid w:val="777259F1"/>
    <w:rsid w:val="795945CC"/>
    <w:rsid w:val="79697F9C"/>
    <w:rsid w:val="79DE2821"/>
    <w:rsid w:val="79FF300D"/>
    <w:rsid w:val="7ACC155F"/>
    <w:rsid w:val="7AD6013D"/>
    <w:rsid w:val="7BD27E6E"/>
    <w:rsid w:val="7C5C6E8F"/>
    <w:rsid w:val="7CF33487"/>
    <w:rsid w:val="7D520CA4"/>
    <w:rsid w:val="7DF35CF5"/>
    <w:rsid w:val="7E227AC3"/>
    <w:rsid w:val="7E5661AC"/>
    <w:rsid w:val="7F1160BA"/>
    <w:rsid w:val="DF87C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note text"/>
    <w:basedOn w:val="1"/>
    <w:autoRedefine/>
    <w:qFormat/>
    <w:uiPriority w:val="99"/>
    <w:pPr>
      <w:snapToGrid w:val="0"/>
      <w:jc w:val="left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otnote reference"/>
    <w:basedOn w:val="5"/>
    <w:autoRedefine/>
    <w:qFormat/>
    <w:uiPriority w:val="99"/>
    <w:rPr>
      <w:rFonts w:ascii="宋体" w:hAnsi="宋体" w:cs="Cambria Math"/>
      <w:b/>
      <w:color w:val="000000"/>
      <w:szCs w:val="21"/>
      <w:vertAlign w:val="superscript"/>
    </w:rPr>
  </w:style>
  <w:style w:type="paragraph" w:customStyle="1" w:styleId="8">
    <w:name w:val="EndNote Bibliography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Calibri" w:hAnsi="Calibri" w:eastAsia="宋体" w:cs="Times New Roman"/>
      <w:kern w:val="2"/>
      <w:szCs w:val="24"/>
      <w:lang w:val="en-US" w:eastAsia="zh-CN" w:bidi="ar-SA"/>
    </w:rPr>
  </w:style>
  <w:style w:type="paragraph" w:customStyle="1" w:styleId="9">
    <w:name w:val="List Paragraph"/>
    <w:basedOn w:val="1"/>
    <w:autoRedefine/>
    <w:qFormat/>
    <w:uiPriority w:val="34"/>
    <w:pPr>
      <w:ind w:firstLine="420" w:firstLineChars="200"/>
    </w:pPr>
    <w:rPr>
      <w:rFonts w:ascii="等线" w:hAnsi="等线" w:eastAsia="等线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2565</Words>
  <Characters>3133</Characters>
  <Lines>0</Lines>
  <Paragraphs>0</Paragraphs>
  <TotalTime>1</TotalTime>
  <ScaleCrop>false</ScaleCrop>
  <LinksUpToDate>false</LinksUpToDate>
  <CharactersWithSpaces>3190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2021-04-15T11:05:00Z</dcterms:created>
  <dc:creator>z</dc:creator>
  <cp:lastModifiedBy>Administrator</cp:lastModifiedBy>
  <cp:lastPrinted>2021-05-14T08:40:00Z</cp:lastPrinted>
  <dcterms:modified xsi:type="dcterms:W3CDTF">2025-09-24T01:11:26Z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0EB9F8D8AD4D4C91A07D89419F3B328A_13</vt:lpwstr>
  </property>
  <property fmtid="{D5CDD505-2E9C-101B-9397-08002B2CF9AE}" pid="4" name="KSOTemplateDocerSaveRecord">
    <vt:lpwstr>eyJoZGlkIjoiZjBiOWJiYWY3ZGYyNDQ4YTJiNWFkMGUxMThlMmNjMjIiLCJ1c2VySWQiOiIxNjA5Mzk1NjU0In0=</vt:lpwstr>
  </property>
</Properties>
</file>